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D4F" w:rsidRPr="00E85D4F" w:rsidRDefault="00E85D4F" w:rsidP="00E85D4F">
      <w:pPr>
        <w:spacing w:after="0" w:line="276" w:lineRule="auto"/>
        <w:rPr>
          <w:rFonts w:ascii="Arial" w:hAnsi="Arial" w:cs="Arial"/>
          <w:b/>
          <w:kern w:val="36"/>
          <w:sz w:val="36"/>
          <w:szCs w:val="36"/>
        </w:rPr>
      </w:pPr>
      <w:bookmarkStart w:id="0" w:name="_GoBack"/>
      <w:proofErr w:type="spellStart"/>
      <w:r w:rsidRPr="00E85D4F">
        <w:rPr>
          <w:rFonts w:ascii="Arial" w:hAnsi="Arial" w:cs="Arial"/>
          <w:b/>
          <w:kern w:val="36"/>
          <w:sz w:val="36"/>
          <w:szCs w:val="36"/>
        </w:rPr>
        <w:t>Tibialis</w:t>
      </w:r>
      <w:proofErr w:type="spellEnd"/>
      <w:r w:rsidRPr="00E85D4F">
        <w:rPr>
          <w:rFonts w:ascii="Arial" w:hAnsi="Arial" w:cs="Arial"/>
          <w:b/>
          <w:kern w:val="36"/>
          <w:sz w:val="36"/>
          <w:szCs w:val="36"/>
        </w:rPr>
        <w:t xml:space="preserve"> </w:t>
      </w:r>
      <w:proofErr w:type="spellStart"/>
      <w:r w:rsidRPr="00E85D4F">
        <w:rPr>
          <w:rFonts w:ascii="Arial" w:hAnsi="Arial" w:cs="Arial"/>
          <w:b/>
          <w:kern w:val="36"/>
          <w:sz w:val="36"/>
          <w:szCs w:val="36"/>
        </w:rPr>
        <w:t>anterior</w:t>
      </w:r>
      <w:proofErr w:type="spellEnd"/>
      <w:r w:rsidRPr="00E85D4F">
        <w:rPr>
          <w:rFonts w:ascii="Arial" w:hAnsi="Arial" w:cs="Arial"/>
          <w:b/>
          <w:kern w:val="36"/>
          <w:sz w:val="36"/>
          <w:szCs w:val="36"/>
        </w:rPr>
        <w:t xml:space="preserve"> </w:t>
      </w:r>
      <w:proofErr w:type="spellStart"/>
      <w:r w:rsidRPr="00E85D4F">
        <w:rPr>
          <w:rFonts w:ascii="Arial" w:hAnsi="Arial" w:cs="Arial"/>
          <w:b/>
          <w:kern w:val="36"/>
          <w:sz w:val="36"/>
          <w:szCs w:val="36"/>
        </w:rPr>
        <w:t>tendinopathie</w:t>
      </w:r>
      <w:proofErr w:type="spellEnd"/>
    </w:p>
    <w:bookmarkEnd w:id="0"/>
    <w:p w:rsidR="00E85D4F" w:rsidRDefault="00E85D4F" w:rsidP="00E85D4F">
      <w:pPr>
        <w:spacing w:after="0" w:line="276" w:lineRule="auto"/>
        <w:rPr>
          <w:rFonts w:ascii="Arial" w:hAnsi="Arial" w:cs="Arial"/>
          <w:kern w:val="36"/>
        </w:rPr>
      </w:pPr>
    </w:p>
    <w:p w:rsidR="00E85D4F" w:rsidRPr="00E85D4F" w:rsidRDefault="00E85D4F" w:rsidP="00E85D4F">
      <w:pPr>
        <w:spacing w:after="0" w:line="276" w:lineRule="auto"/>
        <w:rPr>
          <w:rFonts w:ascii="Arial" w:hAnsi="Arial" w:cs="Arial"/>
          <w:kern w:val="36"/>
          <w:sz w:val="28"/>
          <w:szCs w:val="28"/>
        </w:rPr>
      </w:pPr>
      <w:proofErr w:type="spellStart"/>
      <w:r w:rsidRPr="00E85D4F">
        <w:rPr>
          <w:rFonts w:ascii="Arial" w:eastAsia="Times New Roman" w:hAnsi="Arial" w:cs="Arial"/>
          <w:bCs/>
          <w:sz w:val="28"/>
          <w:szCs w:val="28"/>
          <w:lang w:eastAsia="nl-NL"/>
        </w:rPr>
        <w:t>Key</w:t>
      </w:r>
      <w:proofErr w:type="spellEnd"/>
      <w:r w:rsidRPr="00E85D4F">
        <w:rPr>
          <w:rFonts w:ascii="Arial" w:eastAsia="Times New Roman" w:hAnsi="Arial" w:cs="Arial"/>
          <w:bCs/>
          <w:sz w:val="28"/>
          <w:szCs w:val="28"/>
          <w:lang w:eastAsia="nl-NL"/>
        </w:rPr>
        <w:t>-points</w:t>
      </w:r>
    </w:p>
    <w:p w:rsidR="00E85D4F" w:rsidRPr="00E85D4F" w:rsidRDefault="00E85D4F" w:rsidP="00E85D4F">
      <w:pPr>
        <w:numPr>
          <w:ilvl w:val="0"/>
          <w:numId w:val="1"/>
        </w:numPr>
        <w:spacing w:after="0" w:line="276" w:lineRule="auto"/>
        <w:ind w:left="870"/>
        <w:rPr>
          <w:rFonts w:ascii="Arial" w:eastAsia="Times New Roman" w:hAnsi="Arial" w:cs="Arial"/>
          <w:lang w:eastAsia="nl-NL"/>
        </w:rPr>
      </w:pPr>
      <w:proofErr w:type="spellStart"/>
      <w:r w:rsidRPr="00E85D4F">
        <w:rPr>
          <w:rFonts w:ascii="Arial" w:eastAsia="Times New Roman" w:hAnsi="Arial" w:cs="Arial"/>
          <w:lang w:eastAsia="nl-NL"/>
        </w:rPr>
        <w:t>Tibialis</w:t>
      </w:r>
      <w:proofErr w:type="spellEnd"/>
      <w:r w:rsidRPr="00E85D4F">
        <w:rPr>
          <w:rFonts w:ascii="Arial" w:eastAsia="Times New Roman" w:hAnsi="Arial" w:cs="Arial"/>
          <w:lang w:eastAsia="nl-NL"/>
        </w:rPr>
        <w:t xml:space="preserve"> </w:t>
      </w:r>
      <w:proofErr w:type="spellStart"/>
      <w:r w:rsidRPr="00E85D4F">
        <w:rPr>
          <w:rFonts w:ascii="Arial" w:eastAsia="Times New Roman" w:hAnsi="Arial" w:cs="Arial"/>
          <w:lang w:eastAsia="nl-NL"/>
        </w:rPr>
        <w:t>anterior</w:t>
      </w:r>
      <w:proofErr w:type="spellEnd"/>
      <w:r w:rsidRPr="00E85D4F">
        <w:rPr>
          <w:rFonts w:ascii="Arial" w:eastAsia="Times New Roman" w:hAnsi="Arial" w:cs="Arial"/>
          <w:lang w:eastAsia="nl-NL"/>
        </w:rPr>
        <w:t xml:space="preserve"> </w:t>
      </w:r>
      <w:proofErr w:type="spellStart"/>
      <w:r w:rsidRPr="00E85D4F">
        <w:rPr>
          <w:rFonts w:ascii="Arial" w:eastAsia="Times New Roman" w:hAnsi="Arial" w:cs="Arial"/>
          <w:lang w:eastAsia="nl-NL"/>
        </w:rPr>
        <w:t>tendinopathie</w:t>
      </w:r>
      <w:proofErr w:type="spellEnd"/>
      <w:r w:rsidRPr="00E85D4F">
        <w:rPr>
          <w:rFonts w:ascii="Arial" w:eastAsia="Times New Roman" w:hAnsi="Arial" w:cs="Arial"/>
          <w:lang w:eastAsia="nl-NL"/>
        </w:rPr>
        <w:t xml:space="preserve"> is een klinische diagnose die gekenmerkt wordt door gelokaliseerde pijn in het verloop van de (distale) pees.</w:t>
      </w:r>
    </w:p>
    <w:p w:rsidR="00E85D4F" w:rsidRPr="00E85D4F" w:rsidRDefault="00E85D4F" w:rsidP="00E85D4F">
      <w:pPr>
        <w:numPr>
          <w:ilvl w:val="0"/>
          <w:numId w:val="1"/>
        </w:numPr>
        <w:spacing w:after="0" w:line="276" w:lineRule="auto"/>
        <w:ind w:left="870"/>
        <w:rPr>
          <w:rFonts w:ascii="Arial" w:eastAsia="Times New Roman" w:hAnsi="Arial" w:cs="Arial"/>
          <w:lang w:eastAsia="nl-NL"/>
        </w:rPr>
      </w:pPr>
      <w:r w:rsidRPr="00E85D4F">
        <w:rPr>
          <w:rFonts w:ascii="Arial" w:eastAsia="Times New Roman" w:hAnsi="Arial" w:cs="Arial"/>
          <w:lang w:eastAsia="nl-NL"/>
        </w:rPr>
        <w:t>De behandeling is primair conservatief met versterkende oefeningen en gedoseerde opbouw van belasting. Er is zelden indicatie tot operatieve behandeling.</w:t>
      </w:r>
    </w:p>
    <w:p w:rsidR="00E85D4F" w:rsidRPr="00E85D4F" w:rsidRDefault="00E85D4F" w:rsidP="00E85D4F">
      <w:pPr>
        <w:numPr>
          <w:ilvl w:val="0"/>
          <w:numId w:val="1"/>
        </w:numPr>
        <w:spacing w:after="0" w:line="276" w:lineRule="auto"/>
        <w:ind w:left="870"/>
        <w:rPr>
          <w:rFonts w:ascii="Arial" w:eastAsia="Times New Roman" w:hAnsi="Arial" w:cs="Arial"/>
          <w:lang w:eastAsia="nl-NL"/>
        </w:rPr>
      </w:pPr>
      <w:r w:rsidRPr="00E85D4F">
        <w:rPr>
          <w:rFonts w:ascii="Arial" w:eastAsia="Times New Roman" w:hAnsi="Arial" w:cs="Arial"/>
          <w:lang w:eastAsia="nl-NL"/>
        </w:rPr>
        <w:t xml:space="preserve">Injecties met corticosteroïden dienen </w:t>
      </w:r>
      <w:proofErr w:type="gramStart"/>
      <w:r w:rsidRPr="00E85D4F">
        <w:rPr>
          <w:rFonts w:ascii="Arial" w:eastAsia="Times New Roman" w:hAnsi="Arial" w:cs="Arial"/>
          <w:lang w:eastAsia="nl-NL"/>
        </w:rPr>
        <w:t>NIET</w:t>
      </w:r>
      <w:proofErr w:type="gramEnd"/>
      <w:r w:rsidRPr="00E85D4F">
        <w:rPr>
          <w:rFonts w:ascii="Arial" w:eastAsia="Times New Roman" w:hAnsi="Arial" w:cs="Arial"/>
          <w:lang w:eastAsia="nl-NL"/>
        </w:rPr>
        <w:t xml:space="preserve"> toegepast te worden.</w:t>
      </w:r>
    </w:p>
    <w:p w:rsidR="00E85D4F" w:rsidRDefault="00E85D4F" w:rsidP="00E85D4F">
      <w:pPr>
        <w:spacing w:after="0" w:line="276" w:lineRule="auto"/>
        <w:rPr>
          <w:rFonts w:ascii="Arial" w:eastAsia="Times New Roman" w:hAnsi="Arial" w:cs="Arial"/>
          <w:lang w:eastAsia="nl-NL"/>
        </w:rPr>
      </w:pPr>
    </w:p>
    <w:p w:rsidR="00E85D4F" w:rsidRPr="00E85D4F" w:rsidRDefault="00E85D4F" w:rsidP="00E85D4F">
      <w:pPr>
        <w:spacing w:after="0" w:line="276" w:lineRule="auto"/>
        <w:rPr>
          <w:rFonts w:ascii="Arial" w:eastAsia="Times New Roman" w:hAnsi="Arial" w:cs="Arial"/>
          <w:sz w:val="28"/>
          <w:szCs w:val="28"/>
          <w:lang w:eastAsia="nl-NL"/>
        </w:rPr>
      </w:pPr>
      <w:r w:rsidRPr="00E85D4F">
        <w:rPr>
          <w:rFonts w:ascii="Arial" w:eastAsia="Times New Roman" w:hAnsi="Arial" w:cs="Arial"/>
          <w:bCs/>
          <w:sz w:val="28"/>
          <w:szCs w:val="28"/>
          <w:lang w:eastAsia="nl-NL"/>
        </w:rPr>
        <w:t>Achtergrond</w:t>
      </w:r>
    </w:p>
    <w:p w:rsidR="00E85D4F" w:rsidRDefault="00E85D4F" w:rsidP="00E85D4F">
      <w:pPr>
        <w:spacing w:after="0" w:line="276" w:lineRule="auto"/>
        <w:rPr>
          <w:rFonts w:ascii="Arial" w:eastAsia="Times New Roman" w:hAnsi="Arial" w:cs="Arial"/>
          <w:lang w:eastAsia="nl-NL"/>
        </w:rPr>
      </w:pPr>
      <w:r w:rsidRPr="00E85D4F">
        <w:rPr>
          <w:rFonts w:ascii="Arial" w:eastAsia="Times New Roman" w:hAnsi="Arial" w:cs="Arial"/>
          <w:lang w:eastAsia="nl-NL"/>
        </w:rPr>
        <w:t xml:space="preserve">De m. </w:t>
      </w:r>
      <w:proofErr w:type="spellStart"/>
      <w:r w:rsidRPr="00E85D4F">
        <w:rPr>
          <w:rFonts w:ascii="Arial" w:eastAsia="Times New Roman" w:hAnsi="Arial" w:cs="Arial"/>
          <w:lang w:eastAsia="nl-NL"/>
        </w:rPr>
        <w:t>tibialis</w:t>
      </w:r>
      <w:proofErr w:type="spellEnd"/>
      <w:r w:rsidRPr="00E85D4F">
        <w:rPr>
          <w:rFonts w:ascii="Arial" w:eastAsia="Times New Roman" w:hAnsi="Arial" w:cs="Arial"/>
          <w:lang w:eastAsia="nl-NL"/>
        </w:rPr>
        <w:t xml:space="preserve"> </w:t>
      </w:r>
      <w:proofErr w:type="spellStart"/>
      <w:r w:rsidRPr="00E85D4F">
        <w:rPr>
          <w:rFonts w:ascii="Arial" w:eastAsia="Times New Roman" w:hAnsi="Arial" w:cs="Arial"/>
          <w:lang w:eastAsia="nl-NL"/>
        </w:rPr>
        <w:t>anterior</w:t>
      </w:r>
      <w:proofErr w:type="spellEnd"/>
      <w:r w:rsidRPr="00E85D4F">
        <w:rPr>
          <w:rFonts w:ascii="Arial" w:eastAsia="Times New Roman" w:hAnsi="Arial" w:cs="Arial"/>
          <w:lang w:eastAsia="nl-NL"/>
        </w:rPr>
        <w:t xml:space="preserve"> bevindt zich in het anterieure compartiment van het onderbeen en is verantwoordelijk voor (vooral) dorsaalflexie en inversie van de voet. De </w:t>
      </w:r>
      <w:proofErr w:type="spellStart"/>
      <w:r w:rsidRPr="00E85D4F">
        <w:rPr>
          <w:rFonts w:ascii="Arial" w:eastAsia="Times New Roman" w:hAnsi="Arial" w:cs="Arial"/>
          <w:lang w:eastAsia="nl-NL"/>
        </w:rPr>
        <w:t>origo</w:t>
      </w:r>
      <w:proofErr w:type="spellEnd"/>
      <w:r w:rsidRPr="00E85D4F">
        <w:rPr>
          <w:rFonts w:ascii="Arial" w:eastAsia="Times New Roman" w:hAnsi="Arial" w:cs="Arial"/>
          <w:lang w:eastAsia="nl-NL"/>
        </w:rPr>
        <w:t xml:space="preserve"> is distaal van het laterale </w:t>
      </w:r>
      <w:proofErr w:type="spellStart"/>
      <w:r w:rsidRPr="00E85D4F">
        <w:rPr>
          <w:rFonts w:ascii="Arial" w:eastAsia="Times New Roman" w:hAnsi="Arial" w:cs="Arial"/>
          <w:lang w:eastAsia="nl-NL"/>
        </w:rPr>
        <w:t>tibiacondyl</w:t>
      </w:r>
      <w:proofErr w:type="spellEnd"/>
      <w:r w:rsidRPr="00E85D4F">
        <w:rPr>
          <w:rFonts w:ascii="Arial" w:eastAsia="Times New Roman" w:hAnsi="Arial" w:cs="Arial"/>
          <w:lang w:eastAsia="nl-NL"/>
        </w:rPr>
        <w:t xml:space="preserve"> en de insertie bevindt zich op het os </w:t>
      </w:r>
      <w:proofErr w:type="spellStart"/>
      <w:r w:rsidRPr="00E85D4F">
        <w:rPr>
          <w:rFonts w:ascii="Arial" w:eastAsia="Times New Roman" w:hAnsi="Arial" w:cs="Arial"/>
          <w:lang w:eastAsia="nl-NL"/>
        </w:rPr>
        <w:t>cuneiform</w:t>
      </w:r>
      <w:proofErr w:type="spellEnd"/>
      <w:r w:rsidRPr="00E85D4F">
        <w:rPr>
          <w:rFonts w:ascii="Arial" w:eastAsia="Times New Roman" w:hAnsi="Arial" w:cs="Arial"/>
          <w:lang w:eastAsia="nl-NL"/>
        </w:rPr>
        <w:t xml:space="preserve"> mediale en de basis van de </w:t>
      </w:r>
      <w:proofErr w:type="spellStart"/>
      <w:r w:rsidRPr="00E85D4F">
        <w:rPr>
          <w:rFonts w:ascii="Arial" w:eastAsia="Times New Roman" w:hAnsi="Arial" w:cs="Arial"/>
          <w:lang w:eastAsia="nl-NL"/>
        </w:rPr>
        <w:t>metatarsaal</w:t>
      </w:r>
      <w:proofErr w:type="spellEnd"/>
      <w:r w:rsidRPr="00E85D4F">
        <w:rPr>
          <w:rFonts w:ascii="Arial" w:eastAsia="Times New Roman" w:hAnsi="Arial" w:cs="Arial"/>
          <w:lang w:eastAsia="nl-NL"/>
        </w:rPr>
        <w:t xml:space="preserve"> 1. </w:t>
      </w:r>
      <w:proofErr w:type="spellStart"/>
      <w:r w:rsidRPr="00E85D4F">
        <w:rPr>
          <w:rFonts w:ascii="Arial" w:eastAsia="Times New Roman" w:hAnsi="Arial" w:cs="Arial"/>
          <w:lang w:eastAsia="nl-NL"/>
        </w:rPr>
        <w:t>Tendinopathie</w:t>
      </w:r>
      <w:proofErr w:type="spellEnd"/>
      <w:r w:rsidRPr="00E85D4F">
        <w:rPr>
          <w:rFonts w:ascii="Arial" w:eastAsia="Times New Roman" w:hAnsi="Arial" w:cs="Arial"/>
          <w:lang w:eastAsia="nl-NL"/>
        </w:rPr>
        <w:t xml:space="preserve"> van de m. </w:t>
      </w:r>
      <w:proofErr w:type="spellStart"/>
      <w:r w:rsidRPr="00E85D4F">
        <w:rPr>
          <w:rFonts w:ascii="Arial" w:eastAsia="Times New Roman" w:hAnsi="Arial" w:cs="Arial"/>
          <w:lang w:eastAsia="nl-NL"/>
        </w:rPr>
        <w:t>tibialis</w:t>
      </w:r>
      <w:proofErr w:type="spellEnd"/>
      <w:r w:rsidRPr="00E85D4F">
        <w:rPr>
          <w:rFonts w:ascii="Arial" w:eastAsia="Times New Roman" w:hAnsi="Arial" w:cs="Arial"/>
          <w:lang w:eastAsia="nl-NL"/>
        </w:rPr>
        <w:t xml:space="preserve"> </w:t>
      </w:r>
      <w:proofErr w:type="spellStart"/>
      <w:r w:rsidRPr="00E85D4F">
        <w:rPr>
          <w:rFonts w:ascii="Arial" w:eastAsia="Times New Roman" w:hAnsi="Arial" w:cs="Arial"/>
          <w:lang w:eastAsia="nl-NL"/>
        </w:rPr>
        <w:t>anterior</w:t>
      </w:r>
      <w:proofErr w:type="spellEnd"/>
      <w:r w:rsidRPr="00E85D4F">
        <w:rPr>
          <w:rFonts w:ascii="Arial" w:eastAsia="Times New Roman" w:hAnsi="Arial" w:cs="Arial"/>
          <w:lang w:eastAsia="nl-NL"/>
        </w:rPr>
        <w:t xml:space="preserve"> is een </w:t>
      </w:r>
      <w:proofErr w:type="spellStart"/>
      <w:r w:rsidRPr="00E85D4F">
        <w:rPr>
          <w:rFonts w:ascii="Arial" w:eastAsia="Times New Roman" w:hAnsi="Arial" w:cs="Arial"/>
          <w:lang w:eastAsia="nl-NL"/>
        </w:rPr>
        <w:t>overbelastingsblessure</w:t>
      </w:r>
      <w:proofErr w:type="spellEnd"/>
      <w:r w:rsidRPr="00E85D4F">
        <w:rPr>
          <w:rFonts w:ascii="Arial" w:eastAsia="Times New Roman" w:hAnsi="Arial" w:cs="Arial"/>
          <w:lang w:eastAsia="nl-NL"/>
        </w:rPr>
        <w:t xml:space="preserve"> die vooral voorkomt bij oudere sporters. Het is onder andere beschreven bij hardlopers en wielrenners die veel aan heuveltraining doen en bij (American) voetbalspelers. Ook directe compressie, bijvoorbeeld door strakke (ski)schoenen, kan bijdragen aan het ontstaan van deze blessure. Een ruptuur van de m. </w:t>
      </w:r>
      <w:proofErr w:type="spellStart"/>
      <w:r w:rsidRPr="00E85D4F">
        <w:rPr>
          <w:rFonts w:ascii="Arial" w:eastAsia="Times New Roman" w:hAnsi="Arial" w:cs="Arial"/>
          <w:lang w:eastAsia="nl-NL"/>
        </w:rPr>
        <w:t>tibialis</w:t>
      </w:r>
      <w:proofErr w:type="spellEnd"/>
      <w:r w:rsidRPr="00E85D4F">
        <w:rPr>
          <w:rFonts w:ascii="Arial" w:eastAsia="Times New Roman" w:hAnsi="Arial" w:cs="Arial"/>
          <w:lang w:eastAsia="nl-NL"/>
        </w:rPr>
        <w:t xml:space="preserve"> </w:t>
      </w:r>
      <w:proofErr w:type="spellStart"/>
      <w:r w:rsidRPr="00E85D4F">
        <w:rPr>
          <w:rFonts w:ascii="Arial" w:eastAsia="Times New Roman" w:hAnsi="Arial" w:cs="Arial"/>
          <w:lang w:eastAsia="nl-NL"/>
        </w:rPr>
        <w:t>anterior</w:t>
      </w:r>
      <w:proofErr w:type="spellEnd"/>
      <w:r w:rsidRPr="00E85D4F">
        <w:rPr>
          <w:rFonts w:ascii="Arial" w:eastAsia="Times New Roman" w:hAnsi="Arial" w:cs="Arial"/>
          <w:lang w:eastAsia="nl-NL"/>
        </w:rPr>
        <w:t xml:space="preserve">, zonder trauma of systemische aandoening, is zeldzaam en kenmerkt zich door het onvermogen om de voet te </w:t>
      </w:r>
      <w:proofErr w:type="spellStart"/>
      <w:r w:rsidRPr="00E85D4F">
        <w:rPr>
          <w:rFonts w:ascii="Arial" w:eastAsia="Times New Roman" w:hAnsi="Arial" w:cs="Arial"/>
          <w:lang w:eastAsia="nl-NL"/>
        </w:rPr>
        <w:t>dorsoflecteren</w:t>
      </w:r>
      <w:proofErr w:type="spellEnd"/>
      <w:r w:rsidRPr="00E85D4F">
        <w:rPr>
          <w:rFonts w:ascii="Arial" w:eastAsia="Times New Roman" w:hAnsi="Arial" w:cs="Arial"/>
          <w:lang w:eastAsia="nl-NL"/>
        </w:rPr>
        <w:t>.</w:t>
      </w:r>
    </w:p>
    <w:p w:rsidR="00E85D4F" w:rsidRDefault="00E85D4F" w:rsidP="00E85D4F">
      <w:pPr>
        <w:spacing w:after="0" w:line="276" w:lineRule="auto"/>
        <w:rPr>
          <w:rFonts w:ascii="Arial" w:eastAsia="Times New Roman" w:hAnsi="Arial" w:cs="Arial"/>
          <w:lang w:eastAsia="nl-NL"/>
        </w:rPr>
      </w:pPr>
    </w:p>
    <w:p w:rsidR="00E85D4F" w:rsidRPr="00E85D4F" w:rsidRDefault="00E85D4F" w:rsidP="00E85D4F">
      <w:pPr>
        <w:spacing w:after="0" w:line="276" w:lineRule="auto"/>
        <w:jc w:val="center"/>
        <w:rPr>
          <w:rFonts w:ascii="Arial" w:eastAsia="Times New Roman" w:hAnsi="Arial" w:cs="Arial"/>
          <w:lang w:eastAsia="nl-NL"/>
        </w:rPr>
      </w:pPr>
      <w:r w:rsidRPr="00E85D4F">
        <w:rPr>
          <w:rFonts w:ascii="Arial" w:eastAsia="Times New Roman" w:hAnsi="Arial" w:cs="Arial"/>
          <w:noProof/>
          <w:lang w:eastAsia="nl-NL"/>
        </w:rPr>
        <w:drawing>
          <wp:inline distT="0" distB="0" distL="0" distR="0" wp14:anchorId="4445E5FB" wp14:editId="48949CDC">
            <wp:extent cx="1510030" cy="3168650"/>
            <wp:effectExtent l="0" t="0" r="0" b="0"/>
            <wp:docPr id="1" name="Afbeelding 1" descr="https://www.sportmedischnetwerk.nl/wp-content/uploads/2018/05/Tibialis-anterior-tendinopathie-e1543258249390-490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portmedischnetwerk.nl/wp-content/uploads/2018/05/Tibialis-anterior-tendinopathie-e1543258249390-490x10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0030" cy="3168650"/>
                    </a:xfrm>
                    <a:prstGeom prst="rect">
                      <a:avLst/>
                    </a:prstGeom>
                    <a:noFill/>
                    <a:ln>
                      <a:noFill/>
                    </a:ln>
                  </pic:spPr>
                </pic:pic>
              </a:graphicData>
            </a:graphic>
          </wp:inline>
        </w:drawing>
      </w:r>
    </w:p>
    <w:p w:rsidR="00E85D4F" w:rsidRPr="00E85D4F" w:rsidRDefault="00E85D4F" w:rsidP="00E85D4F">
      <w:pPr>
        <w:spacing w:after="0" w:line="276" w:lineRule="auto"/>
        <w:rPr>
          <w:rFonts w:ascii="Arial" w:eastAsia="Times New Roman" w:hAnsi="Arial" w:cs="Arial"/>
          <w:lang w:eastAsia="nl-NL"/>
        </w:rPr>
      </w:pPr>
      <w:r w:rsidRPr="00E85D4F">
        <w:rPr>
          <w:rFonts w:ascii="Arial" w:eastAsia="Times New Roman" w:hAnsi="Arial" w:cs="Arial"/>
          <w:i/>
          <w:iCs/>
          <w:lang w:eastAsia="nl-NL"/>
        </w:rPr>
        <w:t xml:space="preserve">Figuur 1. Anatomie van de voetheffers; m. </w:t>
      </w:r>
      <w:proofErr w:type="spellStart"/>
      <w:r w:rsidRPr="00E85D4F">
        <w:rPr>
          <w:rFonts w:ascii="Arial" w:eastAsia="Times New Roman" w:hAnsi="Arial" w:cs="Arial"/>
          <w:i/>
          <w:iCs/>
          <w:lang w:eastAsia="nl-NL"/>
        </w:rPr>
        <w:t>extensor</w:t>
      </w:r>
      <w:proofErr w:type="spellEnd"/>
      <w:r w:rsidRPr="00E85D4F">
        <w:rPr>
          <w:rFonts w:ascii="Arial" w:eastAsia="Times New Roman" w:hAnsi="Arial" w:cs="Arial"/>
          <w:i/>
          <w:iCs/>
          <w:lang w:eastAsia="nl-NL"/>
        </w:rPr>
        <w:t xml:space="preserve"> </w:t>
      </w:r>
      <w:proofErr w:type="spellStart"/>
      <w:r w:rsidRPr="00E85D4F">
        <w:rPr>
          <w:rFonts w:ascii="Arial" w:eastAsia="Times New Roman" w:hAnsi="Arial" w:cs="Arial"/>
          <w:i/>
          <w:iCs/>
          <w:lang w:eastAsia="nl-NL"/>
        </w:rPr>
        <w:t>digitorum</w:t>
      </w:r>
      <w:proofErr w:type="spellEnd"/>
      <w:r w:rsidRPr="00E85D4F">
        <w:rPr>
          <w:rFonts w:ascii="Arial" w:eastAsia="Times New Roman" w:hAnsi="Arial" w:cs="Arial"/>
          <w:i/>
          <w:iCs/>
          <w:lang w:eastAsia="nl-NL"/>
        </w:rPr>
        <w:t xml:space="preserve"> longus (zwart), m. </w:t>
      </w:r>
      <w:proofErr w:type="spellStart"/>
      <w:r w:rsidRPr="00E85D4F">
        <w:rPr>
          <w:rFonts w:ascii="Arial" w:eastAsia="Times New Roman" w:hAnsi="Arial" w:cs="Arial"/>
          <w:i/>
          <w:iCs/>
          <w:lang w:eastAsia="nl-NL"/>
        </w:rPr>
        <w:t>extensor</w:t>
      </w:r>
      <w:proofErr w:type="spellEnd"/>
      <w:r w:rsidRPr="00E85D4F">
        <w:rPr>
          <w:rFonts w:ascii="Arial" w:eastAsia="Times New Roman" w:hAnsi="Arial" w:cs="Arial"/>
          <w:i/>
          <w:iCs/>
          <w:lang w:eastAsia="nl-NL"/>
        </w:rPr>
        <w:t xml:space="preserve"> </w:t>
      </w:r>
      <w:proofErr w:type="spellStart"/>
      <w:r w:rsidRPr="00E85D4F">
        <w:rPr>
          <w:rFonts w:ascii="Arial" w:eastAsia="Times New Roman" w:hAnsi="Arial" w:cs="Arial"/>
          <w:i/>
          <w:iCs/>
          <w:lang w:eastAsia="nl-NL"/>
        </w:rPr>
        <w:t>hallucis</w:t>
      </w:r>
      <w:proofErr w:type="spellEnd"/>
      <w:r w:rsidRPr="00E85D4F">
        <w:rPr>
          <w:rFonts w:ascii="Arial" w:eastAsia="Times New Roman" w:hAnsi="Arial" w:cs="Arial"/>
          <w:i/>
          <w:iCs/>
          <w:lang w:eastAsia="nl-NL"/>
        </w:rPr>
        <w:t xml:space="preserve"> longus (rood) en de m. </w:t>
      </w:r>
      <w:proofErr w:type="spellStart"/>
      <w:r w:rsidRPr="00E85D4F">
        <w:rPr>
          <w:rFonts w:ascii="Arial" w:eastAsia="Times New Roman" w:hAnsi="Arial" w:cs="Arial"/>
          <w:i/>
          <w:iCs/>
          <w:lang w:eastAsia="nl-NL"/>
        </w:rPr>
        <w:t>tibialis</w:t>
      </w:r>
      <w:proofErr w:type="spellEnd"/>
      <w:r w:rsidRPr="00E85D4F">
        <w:rPr>
          <w:rFonts w:ascii="Arial" w:eastAsia="Times New Roman" w:hAnsi="Arial" w:cs="Arial"/>
          <w:i/>
          <w:iCs/>
          <w:lang w:eastAsia="nl-NL"/>
        </w:rPr>
        <w:t xml:space="preserve"> </w:t>
      </w:r>
      <w:proofErr w:type="spellStart"/>
      <w:r w:rsidRPr="00E85D4F">
        <w:rPr>
          <w:rFonts w:ascii="Arial" w:eastAsia="Times New Roman" w:hAnsi="Arial" w:cs="Arial"/>
          <w:i/>
          <w:iCs/>
          <w:lang w:eastAsia="nl-NL"/>
        </w:rPr>
        <w:t>anterior</w:t>
      </w:r>
      <w:proofErr w:type="spellEnd"/>
      <w:r w:rsidRPr="00E85D4F">
        <w:rPr>
          <w:rFonts w:ascii="Arial" w:eastAsia="Times New Roman" w:hAnsi="Arial" w:cs="Arial"/>
          <w:i/>
          <w:iCs/>
          <w:lang w:eastAsia="nl-NL"/>
        </w:rPr>
        <w:t xml:space="preserve"> (groen)</w:t>
      </w:r>
    </w:p>
    <w:p w:rsidR="00E85D4F" w:rsidRDefault="00E85D4F" w:rsidP="00E85D4F">
      <w:pPr>
        <w:spacing w:after="0" w:line="276" w:lineRule="auto"/>
        <w:rPr>
          <w:rFonts w:ascii="Arial" w:eastAsia="Times New Roman" w:hAnsi="Arial" w:cs="Arial"/>
          <w:lang w:eastAsia="nl-NL"/>
        </w:rPr>
      </w:pPr>
    </w:p>
    <w:p w:rsidR="00E85D4F" w:rsidRPr="00E85D4F" w:rsidRDefault="00E85D4F" w:rsidP="00E85D4F">
      <w:pPr>
        <w:spacing w:after="0" w:line="276" w:lineRule="auto"/>
        <w:rPr>
          <w:rFonts w:ascii="Arial" w:eastAsia="Times New Roman" w:hAnsi="Arial" w:cs="Arial"/>
          <w:sz w:val="28"/>
          <w:szCs w:val="28"/>
          <w:lang w:eastAsia="nl-NL"/>
        </w:rPr>
      </w:pPr>
      <w:proofErr w:type="spellStart"/>
      <w:r w:rsidRPr="00E85D4F">
        <w:rPr>
          <w:rFonts w:ascii="Arial" w:eastAsia="Times New Roman" w:hAnsi="Arial" w:cs="Arial"/>
          <w:bCs/>
          <w:sz w:val="28"/>
          <w:szCs w:val="28"/>
          <w:lang w:eastAsia="nl-NL"/>
        </w:rPr>
        <w:t>Work</w:t>
      </w:r>
      <w:proofErr w:type="spellEnd"/>
      <w:r w:rsidRPr="00E85D4F">
        <w:rPr>
          <w:rFonts w:ascii="Arial" w:eastAsia="Times New Roman" w:hAnsi="Arial" w:cs="Arial"/>
          <w:bCs/>
          <w:sz w:val="28"/>
          <w:szCs w:val="28"/>
          <w:lang w:eastAsia="nl-NL"/>
        </w:rPr>
        <w:t>-up</w:t>
      </w:r>
    </w:p>
    <w:p w:rsidR="00E85D4F" w:rsidRPr="00E85D4F" w:rsidRDefault="00E85D4F" w:rsidP="00E85D4F">
      <w:pPr>
        <w:spacing w:after="0" w:line="276" w:lineRule="auto"/>
        <w:rPr>
          <w:rFonts w:ascii="Arial" w:eastAsia="Times New Roman" w:hAnsi="Arial" w:cs="Arial"/>
          <w:lang w:eastAsia="nl-NL"/>
        </w:rPr>
      </w:pPr>
      <w:r w:rsidRPr="00E85D4F">
        <w:rPr>
          <w:rFonts w:ascii="Arial" w:eastAsia="Times New Roman" w:hAnsi="Arial" w:cs="Arial"/>
          <w:lang w:eastAsia="nl-NL"/>
        </w:rPr>
        <w:t xml:space="preserve">Patiënten klagen over pijn en stijfheid in het verloop van de pees, meestal in het distale onderbeen en/of </w:t>
      </w:r>
      <w:proofErr w:type="spellStart"/>
      <w:r w:rsidRPr="00E85D4F">
        <w:rPr>
          <w:rFonts w:ascii="Arial" w:eastAsia="Times New Roman" w:hAnsi="Arial" w:cs="Arial"/>
          <w:lang w:eastAsia="nl-NL"/>
        </w:rPr>
        <w:t>anteromediale</w:t>
      </w:r>
      <w:proofErr w:type="spellEnd"/>
      <w:r w:rsidRPr="00E85D4F">
        <w:rPr>
          <w:rFonts w:ascii="Arial" w:eastAsia="Times New Roman" w:hAnsi="Arial" w:cs="Arial"/>
          <w:lang w:eastAsia="nl-NL"/>
        </w:rPr>
        <w:t xml:space="preserve"> zijde van de enkel. De ernst van de klachten wordt ingedeeld volgens de </w:t>
      </w:r>
      <w:proofErr w:type="spellStart"/>
      <w:r w:rsidRPr="00E85D4F">
        <w:rPr>
          <w:rFonts w:ascii="Arial" w:eastAsia="Times New Roman" w:hAnsi="Arial" w:cs="Arial"/>
          <w:lang w:eastAsia="nl-NL"/>
        </w:rPr>
        <w:t>Blazina</w:t>
      </w:r>
      <w:proofErr w:type="spellEnd"/>
      <w:r w:rsidRPr="00E85D4F">
        <w:rPr>
          <w:rFonts w:ascii="Arial" w:eastAsia="Times New Roman" w:hAnsi="Arial" w:cs="Arial"/>
          <w:lang w:eastAsia="nl-NL"/>
        </w:rPr>
        <w:t xml:space="preserve">-classificatie. Deze stadia correleren met de te verwachten hersteltijd, maar zijn vooral nuttig om de voortgang van het herstel te monitoren. Besteed bij de </w:t>
      </w:r>
      <w:r w:rsidRPr="00E85D4F">
        <w:rPr>
          <w:rFonts w:ascii="Arial" w:eastAsia="Times New Roman" w:hAnsi="Arial" w:cs="Arial"/>
          <w:lang w:eastAsia="nl-NL"/>
        </w:rPr>
        <w:lastRenderedPageBreak/>
        <w:t xml:space="preserve">anamnese verder aandacht aan veranderingen in trainingsvolume en –intensiteit, ondergrond, heuveltraining, schoeisel en eventuele wijzigingen in loop- of fietstechniek (afstelling). Bij lichamelijk onderzoek dient de voetstatiek beoordeeld te worden; overmatige </w:t>
      </w:r>
      <w:proofErr w:type="spellStart"/>
      <w:r w:rsidRPr="00E85D4F">
        <w:rPr>
          <w:rFonts w:ascii="Arial" w:eastAsia="Times New Roman" w:hAnsi="Arial" w:cs="Arial"/>
          <w:lang w:eastAsia="nl-NL"/>
        </w:rPr>
        <w:t>pronatie</w:t>
      </w:r>
      <w:proofErr w:type="spellEnd"/>
      <w:r w:rsidRPr="00E85D4F">
        <w:rPr>
          <w:rFonts w:ascii="Arial" w:eastAsia="Times New Roman" w:hAnsi="Arial" w:cs="Arial"/>
          <w:lang w:eastAsia="nl-NL"/>
        </w:rPr>
        <w:t xml:space="preserve"> kan bijdragen aan het ontstaan van deze blessure. Pijn kan vaak opgewekt worden met passieve (eindstandige) </w:t>
      </w:r>
      <w:proofErr w:type="spellStart"/>
      <w:r w:rsidRPr="00E85D4F">
        <w:rPr>
          <w:rFonts w:ascii="Arial" w:eastAsia="Times New Roman" w:hAnsi="Arial" w:cs="Arial"/>
          <w:lang w:eastAsia="nl-NL"/>
        </w:rPr>
        <w:t>plantairflexie</w:t>
      </w:r>
      <w:proofErr w:type="spellEnd"/>
      <w:r w:rsidRPr="00E85D4F">
        <w:rPr>
          <w:rFonts w:ascii="Arial" w:eastAsia="Times New Roman" w:hAnsi="Arial" w:cs="Arial"/>
          <w:lang w:eastAsia="nl-NL"/>
        </w:rPr>
        <w:t xml:space="preserve"> en/of dorsaalflexie tegen weerstand. Palpeer het verloop van de (distale) pees voor lokale drukpijn. </w:t>
      </w:r>
      <w:proofErr w:type="spellStart"/>
      <w:r w:rsidRPr="00E85D4F">
        <w:rPr>
          <w:rFonts w:ascii="Arial" w:eastAsia="Times New Roman" w:hAnsi="Arial" w:cs="Arial"/>
          <w:lang w:eastAsia="nl-NL"/>
        </w:rPr>
        <w:t>Tendinopathie</w:t>
      </w:r>
      <w:proofErr w:type="spellEnd"/>
      <w:r w:rsidRPr="00E85D4F">
        <w:rPr>
          <w:rFonts w:ascii="Arial" w:eastAsia="Times New Roman" w:hAnsi="Arial" w:cs="Arial"/>
          <w:lang w:eastAsia="nl-NL"/>
        </w:rPr>
        <w:t xml:space="preserve"> van de </w:t>
      </w:r>
      <w:proofErr w:type="spellStart"/>
      <w:r w:rsidRPr="00E85D4F">
        <w:rPr>
          <w:rFonts w:ascii="Arial" w:eastAsia="Times New Roman" w:hAnsi="Arial" w:cs="Arial"/>
          <w:lang w:eastAsia="nl-NL"/>
        </w:rPr>
        <w:t>tibialis</w:t>
      </w:r>
      <w:proofErr w:type="spellEnd"/>
      <w:r w:rsidRPr="00E85D4F">
        <w:rPr>
          <w:rFonts w:ascii="Arial" w:eastAsia="Times New Roman" w:hAnsi="Arial" w:cs="Arial"/>
          <w:lang w:eastAsia="nl-NL"/>
        </w:rPr>
        <w:t xml:space="preserve"> </w:t>
      </w:r>
      <w:proofErr w:type="spellStart"/>
      <w:r w:rsidRPr="00E85D4F">
        <w:rPr>
          <w:rFonts w:ascii="Arial" w:eastAsia="Times New Roman" w:hAnsi="Arial" w:cs="Arial"/>
          <w:lang w:eastAsia="nl-NL"/>
        </w:rPr>
        <w:t>anterior</w:t>
      </w:r>
      <w:proofErr w:type="spellEnd"/>
      <w:r w:rsidRPr="00E85D4F">
        <w:rPr>
          <w:rFonts w:ascii="Arial" w:eastAsia="Times New Roman" w:hAnsi="Arial" w:cs="Arial"/>
          <w:lang w:eastAsia="nl-NL"/>
        </w:rPr>
        <w:t xml:space="preserve"> is een klinische diagnose. Bij twijfel kan meer informatie worden verkregen middels echografie of MRI.</w:t>
      </w:r>
    </w:p>
    <w:p w:rsidR="00E85D4F" w:rsidRDefault="00E85D4F" w:rsidP="00E85D4F">
      <w:pPr>
        <w:spacing w:after="0" w:line="276" w:lineRule="auto"/>
        <w:rPr>
          <w:rFonts w:ascii="Arial" w:eastAsia="Times New Roman" w:hAnsi="Arial" w:cs="Arial"/>
          <w:lang w:eastAsia="nl-NL"/>
        </w:rPr>
      </w:pPr>
    </w:p>
    <w:p w:rsidR="00E85D4F" w:rsidRPr="00E85D4F" w:rsidRDefault="00E85D4F" w:rsidP="00E85D4F">
      <w:pPr>
        <w:spacing w:after="0" w:line="276" w:lineRule="auto"/>
        <w:rPr>
          <w:rFonts w:ascii="Arial" w:eastAsia="Times New Roman" w:hAnsi="Arial" w:cs="Arial"/>
          <w:sz w:val="28"/>
          <w:szCs w:val="28"/>
          <w:lang w:eastAsia="nl-NL"/>
        </w:rPr>
      </w:pPr>
      <w:r w:rsidRPr="00E85D4F">
        <w:rPr>
          <w:rFonts w:ascii="Arial" w:eastAsia="Times New Roman" w:hAnsi="Arial" w:cs="Arial"/>
          <w:bCs/>
          <w:sz w:val="28"/>
          <w:szCs w:val="28"/>
          <w:lang w:eastAsia="nl-NL"/>
        </w:rPr>
        <w:t>Behandeling</w:t>
      </w:r>
    </w:p>
    <w:p w:rsidR="00E85D4F" w:rsidRDefault="00E85D4F" w:rsidP="00E85D4F">
      <w:pPr>
        <w:spacing w:after="0" w:line="276" w:lineRule="auto"/>
        <w:rPr>
          <w:rFonts w:ascii="Arial" w:eastAsia="Times New Roman" w:hAnsi="Arial" w:cs="Arial"/>
          <w:lang w:eastAsia="nl-NL"/>
        </w:rPr>
      </w:pPr>
      <w:r w:rsidRPr="00E85D4F">
        <w:rPr>
          <w:rFonts w:ascii="Arial" w:eastAsia="Times New Roman" w:hAnsi="Arial" w:cs="Arial"/>
          <w:lang w:eastAsia="nl-NL"/>
        </w:rPr>
        <w:t xml:space="preserve">De wetenschappelijke evidentie voor behandeling van </w:t>
      </w:r>
      <w:proofErr w:type="spellStart"/>
      <w:r w:rsidRPr="00E85D4F">
        <w:rPr>
          <w:rFonts w:ascii="Arial" w:eastAsia="Times New Roman" w:hAnsi="Arial" w:cs="Arial"/>
          <w:lang w:eastAsia="nl-NL"/>
        </w:rPr>
        <w:t>tibialis</w:t>
      </w:r>
      <w:proofErr w:type="spellEnd"/>
      <w:r w:rsidRPr="00E85D4F">
        <w:rPr>
          <w:rFonts w:ascii="Arial" w:eastAsia="Times New Roman" w:hAnsi="Arial" w:cs="Arial"/>
          <w:lang w:eastAsia="nl-NL"/>
        </w:rPr>
        <w:t xml:space="preserve"> </w:t>
      </w:r>
      <w:proofErr w:type="spellStart"/>
      <w:r w:rsidRPr="00E85D4F">
        <w:rPr>
          <w:rFonts w:ascii="Arial" w:eastAsia="Times New Roman" w:hAnsi="Arial" w:cs="Arial"/>
          <w:lang w:eastAsia="nl-NL"/>
        </w:rPr>
        <w:t>anterior</w:t>
      </w:r>
      <w:proofErr w:type="spellEnd"/>
      <w:r w:rsidRPr="00E85D4F">
        <w:rPr>
          <w:rFonts w:ascii="Arial" w:eastAsia="Times New Roman" w:hAnsi="Arial" w:cs="Arial"/>
          <w:lang w:eastAsia="nl-NL"/>
        </w:rPr>
        <w:t xml:space="preserve"> </w:t>
      </w:r>
      <w:proofErr w:type="spellStart"/>
      <w:r w:rsidRPr="00E85D4F">
        <w:rPr>
          <w:rFonts w:ascii="Arial" w:eastAsia="Times New Roman" w:hAnsi="Arial" w:cs="Arial"/>
          <w:lang w:eastAsia="nl-NL"/>
        </w:rPr>
        <w:t>tendinopathie</w:t>
      </w:r>
      <w:proofErr w:type="spellEnd"/>
      <w:r w:rsidRPr="00E85D4F">
        <w:rPr>
          <w:rFonts w:ascii="Arial" w:eastAsia="Times New Roman" w:hAnsi="Arial" w:cs="Arial"/>
          <w:lang w:eastAsia="nl-NL"/>
        </w:rPr>
        <w:t xml:space="preserve"> is beperkt. We zullen ons hieronder beperken tot de best bewezen en meest gebruikte behandelmethoden.</w:t>
      </w:r>
    </w:p>
    <w:p w:rsidR="00E85D4F" w:rsidRDefault="00E85D4F" w:rsidP="00E85D4F">
      <w:pPr>
        <w:spacing w:after="0" w:line="276" w:lineRule="auto"/>
        <w:rPr>
          <w:rFonts w:ascii="Arial" w:eastAsia="Times New Roman" w:hAnsi="Arial" w:cs="Arial"/>
          <w:lang w:eastAsia="nl-NL"/>
        </w:rPr>
      </w:pPr>
    </w:p>
    <w:p w:rsidR="00E85D4F" w:rsidRPr="00E85D4F" w:rsidRDefault="00E85D4F" w:rsidP="00E85D4F">
      <w:pPr>
        <w:spacing w:after="0" w:line="276" w:lineRule="auto"/>
        <w:rPr>
          <w:rFonts w:ascii="Arial" w:eastAsia="Times New Roman" w:hAnsi="Arial" w:cs="Arial"/>
          <w:lang w:eastAsia="nl-NL"/>
        </w:rPr>
      </w:pPr>
      <w:r w:rsidRPr="00E85D4F">
        <w:rPr>
          <w:rFonts w:ascii="Arial" w:eastAsia="Times New Roman" w:hAnsi="Arial" w:cs="Arial"/>
          <w:i/>
          <w:iCs/>
          <w:u w:val="single"/>
          <w:lang w:eastAsia="nl-NL"/>
        </w:rPr>
        <w:t>Injectie met corticosteroïden: NIET DOEN!</w:t>
      </w:r>
    </w:p>
    <w:p w:rsidR="00E85D4F" w:rsidRDefault="00E85D4F" w:rsidP="00E85D4F">
      <w:pPr>
        <w:spacing w:after="0" w:line="276" w:lineRule="auto"/>
        <w:rPr>
          <w:rFonts w:ascii="Arial" w:eastAsia="Times New Roman" w:hAnsi="Arial" w:cs="Arial"/>
          <w:lang w:eastAsia="nl-NL"/>
        </w:rPr>
      </w:pPr>
      <w:r w:rsidRPr="00E85D4F">
        <w:rPr>
          <w:rFonts w:ascii="Arial" w:eastAsia="Times New Roman" w:hAnsi="Arial" w:cs="Arial"/>
          <w:lang w:eastAsia="nl-NL"/>
        </w:rPr>
        <w:t xml:space="preserve">Corticosteroïd injecties worden in de praktijk veelvuldig gebruikt bij de behandeling van </w:t>
      </w:r>
      <w:proofErr w:type="spellStart"/>
      <w:r w:rsidRPr="00E85D4F">
        <w:rPr>
          <w:rFonts w:ascii="Arial" w:eastAsia="Times New Roman" w:hAnsi="Arial" w:cs="Arial"/>
          <w:lang w:eastAsia="nl-NL"/>
        </w:rPr>
        <w:t>tendinopathieën</w:t>
      </w:r>
      <w:proofErr w:type="spellEnd"/>
      <w:r w:rsidRPr="00E85D4F">
        <w:rPr>
          <w:rFonts w:ascii="Arial" w:eastAsia="Times New Roman" w:hAnsi="Arial" w:cs="Arial"/>
          <w:lang w:eastAsia="nl-NL"/>
        </w:rPr>
        <w:t xml:space="preserve">. Ze hebben een positief effect op pijnklachten op de korte termijn, maar niet op de midden- tot lange termijn. Daarnaast blijkt uit goed uitgevoerd wetenschappelijk onderzoek steeds duidelijker dat corticosteroïden een negatief effect hebben op pees- en collageenweefsel op de midden- tot lange termijn. Wij raden het gebruik hiervan bij </w:t>
      </w:r>
      <w:proofErr w:type="spellStart"/>
      <w:r w:rsidRPr="00E85D4F">
        <w:rPr>
          <w:rFonts w:ascii="Arial" w:eastAsia="Times New Roman" w:hAnsi="Arial" w:cs="Arial"/>
          <w:lang w:eastAsia="nl-NL"/>
        </w:rPr>
        <w:t>tibialis</w:t>
      </w:r>
      <w:proofErr w:type="spellEnd"/>
      <w:r w:rsidRPr="00E85D4F">
        <w:rPr>
          <w:rFonts w:ascii="Arial" w:eastAsia="Times New Roman" w:hAnsi="Arial" w:cs="Arial"/>
          <w:lang w:eastAsia="nl-NL"/>
        </w:rPr>
        <w:t xml:space="preserve"> </w:t>
      </w:r>
      <w:proofErr w:type="spellStart"/>
      <w:r w:rsidRPr="00E85D4F">
        <w:rPr>
          <w:rFonts w:ascii="Arial" w:eastAsia="Times New Roman" w:hAnsi="Arial" w:cs="Arial"/>
          <w:lang w:eastAsia="nl-NL"/>
        </w:rPr>
        <w:t>anterior</w:t>
      </w:r>
      <w:proofErr w:type="spellEnd"/>
      <w:r w:rsidRPr="00E85D4F">
        <w:rPr>
          <w:rFonts w:ascii="Arial" w:eastAsia="Times New Roman" w:hAnsi="Arial" w:cs="Arial"/>
          <w:lang w:eastAsia="nl-NL"/>
        </w:rPr>
        <w:t xml:space="preserve"> </w:t>
      </w:r>
      <w:proofErr w:type="spellStart"/>
      <w:r w:rsidRPr="00E85D4F">
        <w:rPr>
          <w:rFonts w:ascii="Arial" w:eastAsia="Times New Roman" w:hAnsi="Arial" w:cs="Arial"/>
          <w:lang w:eastAsia="nl-NL"/>
        </w:rPr>
        <w:t>tendinopathie</w:t>
      </w:r>
      <w:proofErr w:type="spellEnd"/>
      <w:r w:rsidRPr="00E85D4F">
        <w:rPr>
          <w:rFonts w:ascii="Arial" w:eastAsia="Times New Roman" w:hAnsi="Arial" w:cs="Arial"/>
          <w:lang w:eastAsia="nl-NL"/>
        </w:rPr>
        <w:t xml:space="preserve"> dan ook af.</w:t>
      </w:r>
    </w:p>
    <w:p w:rsidR="00E85D4F" w:rsidRDefault="00E85D4F" w:rsidP="00E85D4F">
      <w:pPr>
        <w:spacing w:after="0" w:line="276" w:lineRule="auto"/>
        <w:rPr>
          <w:rFonts w:ascii="Arial" w:eastAsia="Times New Roman" w:hAnsi="Arial" w:cs="Arial"/>
          <w:lang w:eastAsia="nl-NL"/>
        </w:rPr>
      </w:pPr>
    </w:p>
    <w:p w:rsidR="00E85D4F" w:rsidRPr="00E85D4F" w:rsidRDefault="00E85D4F" w:rsidP="00E85D4F">
      <w:pPr>
        <w:spacing w:after="0" w:line="276" w:lineRule="auto"/>
        <w:rPr>
          <w:rFonts w:ascii="Arial" w:eastAsia="Times New Roman" w:hAnsi="Arial" w:cs="Arial"/>
          <w:lang w:eastAsia="nl-NL"/>
        </w:rPr>
      </w:pPr>
      <w:r w:rsidRPr="00E85D4F">
        <w:rPr>
          <w:rFonts w:ascii="Arial" w:eastAsia="Times New Roman" w:hAnsi="Arial" w:cs="Arial"/>
          <w:i/>
          <w:iCs/>
          <w:u w:val="single"/>
          <w:lang w:eastAsia="nl-NL"/>
        </w:rPr>
        <w:t>Oefenprogramma</w:t>
      </w:r>
    </w:p>
    <w:p w:rsidR="00E85D4F" w:rsidRDefault="00E85D4F" w:rsidP="00E85D4F">
      <w:pPr>
        <w:spacing w:after="0" w:line="276" w:lineRule="auto"/>
        <w:rPr>
          <w:rFonts w:ascii="Arial" w:eastAsia="Times New Roman" w:hAnsi="Arial" w:cs="Arial"/>
          <w:lang w:eastAsia="nl-NL"/>
        </w:rPr>
      </w:pPr>
      <w:r w:rsidRPr="00E85D4F">
        <w:rPr>
          <w:rFonts w:ascii="Arial" w:eastAsia="Times New Roman" w:hAnsi="Arial" w:cs="Arial"/>
          <w:lang w:eastAsia="nl-NL"/>
        </w:rPr>
        <w:t xml:space="preserve">De basis van de behandeling is een opbouwend trainingsprogramma gericht op het versterken en belastbaarder maken van de m. </w:t>
      </w:r>
      <w:proofErr w:type="spellStart"/>
      <w:r w:rsidRPr="00E85D4F">
        <w:rPr>
          <w:rFonts w:ascii="Arial" w:eastAsia="Times New Roman" w:hAnsi="Arial" w:cs="Arial"/>
          <w:lang w:eastAsia="nl-NL"/>
        </w:rPr>
        <w:t>tibialis</w:t>
      </w:r>
      <w:proofErr w:type="spellEnd"/>
      <w:r w:rsidRPr="00E85D4F">
        <w:rPr>
          <w:rFonts w:ascii="Arial" w:eastAsia="Times New Roman" w:hAnsi="Arial" w:cs="Arial"/>
          <w:lang w:eastAsia="nl-NL"/>
        </w:rPr>
        <w:t xml:space="preserve"> </w:t>
      </w:r>
      <w:proofErr w:type="spellStart"/>
      <w:r w:rsidRPr="00E85D4F">
        <w:rPr>
          <w:rFonts w:ascii="Arial" w:eastAsia="Times New Roman" w:hAnsi="Arial" w:cs="Arial"/>
          <w:lang w:eastAsia="nl-NL"/>
        </w:rPr>
        <w:t>anterior</w:t>
      </w:r>
      <w:proofErr w:type="spellEnd"/>
      <w:r w:rsidRPr="00E85D4F">
        <w:rPr>
          <w:rFonts w:ascii="Arial" w:eastAsia="Times New Roman" w:hAnsi="Arial" w:cs="Arial"/>
          <w:lang w:eastAsia="nl-NL"/>
        </w:rPr>
        <w:t xml:space="preserve">. Patiënten kunnen beginnen met een dagelijks thuisoefenprogramma met </w:t>
      </w:r>
      <w:hyperlink r:id="rId6" w:history="1">
        <w:r w:rsidRPr="00E85D4F">
          <w:rPr>
            <w:rFonts w:ascii="Arial" w:eastAsia="Times New Roman" w:hAnsi="Arial" w:cs="Arial"/>
            <w:u w:val="single"/>
            <w:lang w:eastAsia="nl-NL"/>
          </w:rPr>
          <w:t>excentrische krachtoefeningen</w:t>
        </w:r>
      </w:hyperlink>
      <w:r w:rsidRPr="00E85D4F">
        <w:rPr>
          <w:rFonts w:ascii="Arial" w:eastAsia="Times New Roman" w:hAnsi="Arial" w:cs="Arial"/>
          <w:lang w:eastAsia="nl-NL"/>
        </w:rPr>
        <w:t xml:space="preserve">, gevolgd door een adequaat gedoseerde opbouw van de sportbelasting. Bij ernstige klachten of bij onvoldoende verbetering met het thuisoefenprogramma is verwijzing naar een (sport)fysiotherapeut voor een uitgebreider revalidatieprogramma geïndiceerd. We adviseren dan een gefaseerde opbouw van oefeningen: fase 1) isometrisch, fase 2) isotonisch, fase 3) </w:t>
      </w:r>
      <w:proofErr w:type="spellStart"/>
      <w:r w:rsidRPr="00E85D4F">
        <w:rPr>
          <w:rFonts w:ascii="Arial" w:eastAsia="Times New Roman" w:hAnsi="Arial" w:cs="Arial"/>
          <w:lang w:eastAsia="nl-NL"/>
        </w:rPr>
        <w:t>plyometrisch</w:t>
      </w:r>
      <w:proofErr w:type="spellEnd"/>
      <w:r w:rsidRPr="00E85D4F">
        <w:rPr>
          <w:rFonts w:ascii="Arial" w:eastAsia="Times New Roman" w:hAnsi="Arial" w:cs="Arial"/>
          <w:lang w:eastAsia="nl-NL"/>
        </w:rPr>
        <w:t xml:space="preserve">/energie opslag oefeningen (rennen, springen, wenden en keren), en fase 4) sport-specifieke training gericht op sportterugkeer. Het doorlopen van de fasen wordt gestuurd op basis van voortgang in klachten en functie, niet op basis van tijdcriteria. Daarnaast adviseren we een algemeen trainingsprogramma (inclusief </w:t>
      </w:r>
      <w:proofErr w:type="spellStart"/>
      <w:r w:rsidRPr="00E85D4F">
        <w:rPr>
          <w:rFonts w:ascii="Arial" w:eastAsia="Times New Roman" w:hAnsi="Arial" w:cs="Arial"/>
          <w:lang w:eastAsia="nl-NL"/>
        </w:rPr>
        <w:t>propriocepsis</w:t>
      </w:r>
      <w:proofErr w:type="spellEnd"/>
      <w:r w:rsidRPr="00E85D4F">
        <w:rPr>
          <w:rFonts w:ascii="Arial" w:eastAsia="Times New Roman" w:hAnsi="Arial" w:cs="Arial"/>
          <w:lang w:eastAsia="nl-NL"/>
        </w:rPr>
        <w:t>) om een goede belastbaarheid in de rest van de kinetische keten te waarborgen, met name die van onderbeen, enkel en voet. Voor hardlopers wordt aanpassing van looptechniek (kortere staplengte) of type schoen (lagere hak) soms aanbevolen, maar tot op heden ontbeert dit wetenschappelijke evidentie.</w:t>
      </w:r>
    </w:p>
    <w:p w:rsidR="00E85D4F" w:rsidRDefault="00E85D4F" w:rsidP="00E85D4F">
      <w:pPr>
        <w:spacing w:after="0" w:line="276" w:lineRule="auto"/>
        <w:rPr>
          <w:rFonts w:ascii="Arial" w:eastAsia="Times New Roman" w:hAnsi="Arial" w:cs="Arial"/>
          <w:lang w:eastAsia="nl-NL"/>
        </w:rPr>
      </w:pPr>
    </w:p>
    <w:p w:rsidR="00E85D4F" w:rsidRDefault="00E85D4F" w:rsidP="00E85D4F">
      <w:pPr>
        <w:spacing w:after="0" w:line="276" w:lineRule="auto"/>
        <w:rPr>
          <w:rFonts w:ascii="Arial" w:eastAsia="Times New Roman" w:hAnsi="Arial" w:cs="Arial"/>
          <w:lang w:eastAsia="nl-NL"/>
        </w:rPr>
      </w:pPr>
      <w:r w:rsidRPr="00E85D4F">
        <w:rPr>
          <w:rFonts w:ascii="Arial" w:eastAsia="Times New Roman" w:hAnsi="Arial" w:cs="Arial"/>
          <w:i/>
          <w:iCs/>
          <w:u w:val="single"/>
          <w:lang w:eastAsia="nl-NL"/>
        </w:rPr>
        <w:t>Operatief</w:t>
      </w:r>
      <w:r w:rsidRPr="00E85D4F">
        <w:rPr>
          <w:rFonts w:ascii="Arial" w:eastAsia="Times New Roman" w:hAnsi="Arial" w:cs="Arial"/>
          <w:lang w:eastAsia="nl-NL"/>
        </w:rPr>
        <w:br/>
        <w:t xml:space="preserve">Omdat er matige bewijsvoering is voor de effectiviteit, adviseren we terughoudend te zijn met operatieve interventies bij </w:t>
      </w:r>
      <w:proofErr w:type="spellStart"/>
      <w:r w:rsidRPr="00E85D4F">
        <w:rPr>
          <w:rFonts w:ascii="Arial" w:eastAsia="Times New Roman" w:hAnsi="Arial" w:cs="Arial"/>
          <w:lang w:eastAsia="nl-NL"/>
        </w:rPr>
        <w:t>tibialis</w:t>
      </w:r>
      <w:proofErr w:type="spellEnd"/>
      <w:r w:rsidRPr="00E85D4F">
        <w:rPr>
          <w:rFonts w:ascii="Arial" w:eastAsia="Times New Roman" w:hAnsi="Arial" w:cs="Arial"/>
          <w:lang w:eastAsia="nl-NL"/>
        </w:rPr>
        <w:t xml:space="preserve"> </w:t>
      </w:r>
      <w:proofErr w:type="spellStart"/>
      <w:r w:rsidRPr="00E85D4F">
        <w:rPr>
          <w:rFonts w:ascii="Arial" w:eastAsia="Times New Roman" w:hAnsi="Arial" w:cs="Arial"/>
          <w:lang w:eastAsia="nl-NL"/>
        </w:rPr>
        <w:t>anterior</w:t>
      </w:r>
      <w:proofErr w:type="spellEnd"/>
      <w:r w:rsidRPr="00E85D4F">
        <w:rPr>
          <w:rFonts w:ascii="Arial" w:eastAsia="Times New Roman" w:hAnsi="Arial" w:cs="Arial"/>
          <w:lang w:eastAsia="nl-NL"/>
        </w:rPr>
        <w:t xml:space="preserve"> </w:t>
      </w:r>
      <w:proofErr w:type="spellStart"/>
      <w:r w:rsidRPr="00E85D4F">
        <w:rPr>
          <w:rFonts w:ascii="Arial" w:eastAsia="Times New Roman" w:hAnsi="Arial" w:cs="Arial"/>
          <w:lang w:eastAsia="nl-NL"/>
        </w:rPr>
        <w:t>tendinopathie</w:t>
      </w:r>
      <w:proofErr w:type="spellEnd"/>
      <w:r w:rsidRPr="00E85D4F">
        <w:rPr>
          <w:rFonts w:ascii="Arial" w:eastAsia="Times New Roman" w:hAnsi="Arial" w:cs="Arial"/>
          <w:lang w:eastAsia="nl-NL"/>
        </w:rPr>
        <w:t xml:space="preserve">; dit dient gereserveerd te worden voor therapieresistente gevallen. De operatie betreft een open procedure met </w:t>
      </w:r>
      <w:proofErr w:type="spellStart"/>
      <w:r w:rsidRPr="00E85D4F">
        <w:rPr>
          <w:rFonts w:ascii="Arial" w:eastAsia="Times New Roman" w:hAnsi="Arial" w:cs="Arial"/>
          <w:lang w:eastAsia="nl-NL"/>
        </w:rPr>
        <w:t>debridement</w:t>
      </w:r>
      <w:proofErr w:type="spellEnd"/>
      <w:r w:rsidRPr="00E85D4F">
        <w:rPr>
          <w:rFonts w:ascii="Arial" w:eastAsia="Times New Roman" w:hAnsi="Arial" w:cs="Arial"/>
          <w:lang w:eastAsia="nl-NL"/>
        </w:rPr>
        <w:t xml:space="preserve">, hechten van de (vaak aangetroffen) longitudinale split ruptuur en re-insertie met ankers. Indien na </w:t>
      </w:r>
      <w:proofErr w:type="spellStart"/>
      <w:r w:rsidRPr="00E85D4F">
        <w:rPr>
          <w:rFonts w:ascii="Arial" w:eastAsia="Times New Roman" w:hAnsi="Arial" w:cs="Arial"/>
          <w:lang w:eastAsia="nl-NL"/>
        </w:rPr>
        <w:t>debridement</w:t>
      </w:r>
      <w:proofErr w:type="spellEnd"/>
      <w:r w:rsidRPr="00E85D4F">
        <w:rPr>
          <w:rFonts w:ascii="Arial" w:eastAsia="Times New Roman" w:hAnsi="Arial" w:cs="Arial"/>
          <w:lang w:eastAsia="nl-NL"/>
        </w:rPr>
        <w:t xml:space="preserve"> minder dan 50% van de pees staat, vindt er </w:t>
      </w:r>
      <w:proofErr w:type="spellStart"/>
      <w:r w:rsidRPr="00E85D4F">
        <w:rPr>
          <w:rFonts w:ascii="Arial" w:eastAsia="Times New Roman" w:hAnsi="Arial" w:cs="Arial"/>
          <w:lang w:eastAsia="nl-NL"/>
        </w:rPr>
        <w:t>augmentatie</w:t>
      </w:r>
      <w:proofErr w:type="spellEnd"/>
      <w:r w:rsidRPr="00E85D4F">
        <w:rPr>
          <w:rFonts w:ascii="Arial" w:eastAsia="Times New Roman" w:hAnsi="Arial" w:cs="Arial"/>
          <w:lang w:eastAsia="nl-NL"/>
        </w:rPr>
        <w:t xml:space="preserve"> plaats met een </w:t>
      </w:r>
      <w:proofErr w:type="spellStart"/>
      <w:r w:rsidRPr="00E85D4F">
        <w:rPr>
          <w:rFonts w:ascii="Arial" w:eastAsia="Times New Roman" w:hAnsi="Arial" w:cs="Arial"/>
          <w:lang w:eastAsia="nl-NL"/>
        </w:rPr>
        <w:t>extensor</w:t>
      </w:r>
      <w:proofErr w:type="spellEnd"/>
      <w:r w:rsidRPr="00E85D4F">
        <w:rPr>
          <w:rFonts w:ascii="Arial" w:eastAsia="Times New Roman" w:hAnsi="Arial" w:cs="Arial"/>
          <w:lang w:eastAsia="nl-NL"/>
        </w:rPr>
        <w:t xml:space="preserve"> </w:t>
      </w:r>
      <w:proofErr w:type="spellStart"/>
      <w:r w:rsidRPr="00E85D4F">
        <w:rPr>
          <w:rFonts w:ascii="Arial" w:eastAsia="Times New Roman" w:hAnsi="Arial" w:cs="Arial"/>
          <w:lang w:eastAsia="nl-NL"/>
        </w:rPr>
        <w:t>hallucis</w:t>
      </w:r>
      <w:proofErr w:type="spellEnd"/>
      <w:r w:rsidRPr="00E85D4F">
        <w:rPr>
          <w:rFonts w:ascii="Arial" w:eastAsia="Times New Roman" w:hAnsi="Arial" w:cs="Arial"/>
          <w:lang w:eastAsia="nl-NL"/>
        </w:rPr>
        <w:t xml:space="preserve"> longus autograft. Nabehandeling bestaat respectievelijk uit 2 weken </w:t>
      </w:r>
      <w:r w:rsidRPr="00E85D4F">
        <w:rPr>
          <w:rFonts w:ascii="Arial" w:eastAsia="Times New Roman" w:hAnsi="Arial" w:cs="Arial"/>
          <w:lang w:eastAsia="nl-NL"/>
        </w:rPr>
        <w:lastRenderedPageBreak/>
        <w:t>onbelast onderbeengips, 4 weken onderbeenloopgips en 4 weken Walker met start fysiotherapie.</w:t>
      </w:r>
    </w:p>
    <w:p w:rsidR="00E85D4F" w:rsidRDefault="00E85D4F" w:rsidP="00E85D4F">
      <w:pPr>
        <w:spacing w:after="0" w:line="276" w:lineRule="auto"/>
        <w:rPr>
          <w:rFonts w:ascii="Arial" w:eastAsia="Times New Roman" w:hAnsi="Arial" w:cs="Arial"/>
          <w:lang w:eastAsia="nl-NL"/>
        </w:rPr>
      </w:pPr>
    </w:p>
    <w:p w:rsidR="00E85D4F" w:rsidRPr="00E85D4F" w:rsidRDefault="00E85D4F" w:rsidP="00E85D4F">
      <w:pPr>
        <w:spacing w:after="0" w:line="276" w:lineRule="auto"/>
        <w:rPr>
          <w:rFonts w:ascii="Arial" w:eastAsia="Times New Roman" w:hAnsi="Arial" w:cs="Arial"/>
          <w:sz w:val="28"/>
          <w:szCs w:val="28"/>
          <w:lang w:eastAsia="nl-NL"/>
        </w:rPr>
      </w:pPr>
      <w:proofErr w:type="gramStart"/>
      <w:r w:rsidRPr="00E85D4F">
        <w:rPr>
          <w:rFonts w:ascii="Arial" w:eastAsia="Times New Roman" w:hAnsi="Arial" w:cs="Arial"/>
          <w:bCs/>
          <w:sz w:val="28"/>
          <w:szCs w:val="28"/>
          <w:lang w:eastAsia="nl-NL"/>
        </w:rPr>
        <w:t>Nabehandeling /</w:t>
      </w:r>
      <w:proofErr w:type="gramEnd"/>
      <w:r w:rsidRPr="00E85D4F">
        <w:rPr>
          <w:rFonts w:ascii="Arial" w:eastAsia="Times New Roman" w:hAnsi="Arial" w:cs="Arial"/>
          <w:bCs/>
          <w:sz w:val="28"/>
          <w:szCs w:val="28"/>
          <w:lang w:eastAsia="nl-NL"/>
        </w:rPr>
        <w:t xml:space="preserve"> sporthervatting</w:t>
      </w:r>
    </w:p>
    <w:p w:rsidR="00E85D4F" w:rsidRDefault="00E85D4F" w:rsidP="00E85D4F">
      <w:pPr>
        <w:spacing w:after="0" w:line="276" w:lineRule="auto"/>
        <w:rPr>
          <w:rFonts w:ascii="Arial" w:eastAsia="Times New Roman" w:hAnsi="Arial" w:cs="Arial"/>
          <w:lang w:eastAsia="nl-NL"/>
        </w:rPr>
      </w:pPr>
      <w:r w:rsidRPr="00E85D4F">
        <w:rPr>
          <w:rFonts w:ascii="Arial" w:eastAsia="Times New Roman" w:hAnsi="Arial" w:cs="Arial"/>
          <w:lang w:eastAsia="nl-NL"/>
        </w:rPr>
        <w:t>Na het doorlopen van bovenstaand gefaseerd oefenprogramma kunnen sportactiviteiten hervat worden. Voor een succesvolle sporthervatting is het van belang dat de sportbelasting in duur en intensiteit gedoseerd opgebouwd wordt, op geleide van reactie op de belasting.</w:t>
      </w:r>
    </w:p>
    <w:p w:rsidR="00E85D4F" w:rsidRDefault="00E85D4F" w:rsidP="00E85D4F">
      <w:pPr>
        <w:spacing w:after="0" w:line="276" w:lineRule="auto"/>
        <w:rPr>
          <w:rFonts w:ascii="Arial" w:eastAsia="Times New Roman" w:hAnsi="Arial" w:cs="Arial"/>
          <w:lang w:eastAsia="nl-NL"/>
        </w:rPr>
      </w:pPr>
    </w:p>
    <w:p w:rsidR="00E85D4F" w:rsidRPr="00E85D4F" w:rsidRDefault="00E85D4F" w:rsidP="00E85D4F">
      <w:pPr>
        <w:spacing w:after="0" w:line="276" w:lineRule="auto"/>
        <w:rPr>
          <w:rFonts w:ascii="Arial" w:eastAsia="Times New Roman" w:hAnsi="Arial" w:cs="Arial"/>
          <w:sz w:val="28"/>
          <w:szCs w:val="28"/>
          <w:lang w:eastAsia="nl-NL"/>
        </w:rPr>
      </w:pPr>
      <w:proofErr w:type="spellStart"/>
      <w:r w:rsidRPr="00E85D4F">
        <w:rPr>
          <w:rFonts w:ascii="Arial" w:eastAsia="Times New Roman" w:hAnsi="Arial" w:cs="Arial"/>
          <w:bCs/>
          <w:sz w:val="28"/>
          <w:szCs w:val="28"/>
          <w:lang w:val="en-AU" w:eastAsia="nl-NL"/>
        </w:rPr>
        <w:t>Literatuur</w:t>
      </w:r>
      <w:proofErr w:type="spellEnd"/>
    </w:p>
    <w:p w:rsidR="00E85D4F" w:rsidRPr="00E85D4F" w:rsidRDefault="00E85D4F" w:rsidP="00E85D4F">
      <w:pPr>
        <w:pStyle w:val="Lijstalinea"/>
        <w:numPr>
          <w:ilvl w:val="0"/>
          <w:numId w:val="2"/>
        </w:numPr>
        <w:spacing w:after="0" w:line="276" w:lineRule="auto"/>
        <w:rPr>
          <w:rFonts w:ascii="Arial" w:eastAsia="Times New Roman" w:hAnsi="Arial" w:cs="Arial"/>
          <w:lang w:val="en-AU" w:eastAsia="nl-NL"/>
        </w:rPr>
      </w:pPr>
      <w:hyperlink r:id="rId7" w:history="1">
        <w:r w:rsidRPr="00E85D4F">
          <w:rPr>
            <w:rFonts w:ascii="Arial" w:eastAsia="Times New Roman" w:hAnsi="Arial" w:cs="Arial"/>
            <w:lang w:val="en-AU" w:eastAsia="nl-NL"/>
          </w:rPr>
          <w:t xml:space="preserve">Grundy et al. Operative management of distal </w:t>
        </w:r>
        <w:proofErr w:type="spellStart"/>
        <w:r w:rsidRPr="00E85D4F">
          <w:rPr>
            <w:rFonts w:ascii="Arial" w:eastAsia="Times New Roman" w:hAnsi="Arial" w:cs="Arial"/>
            <w:lang w:val="en-AU" w:eastAsia="nl-NL"/>
          </w:rPr>
          <w:t>tibialis</w:t>
        </w:r>
        <w:proofErr w:type="spellEnd"/>
        <w:r w:rsidRPr="00E85D4F">
          <w:rPr>
            <w:rFonts w:ascii="Arial" w:eastAsia="Times New Roman" w:hAnsi="Arial" w:cs="Arial"/>
            <w:lang w:val="en-AU" w:eastAsia="nl-NL"/>
          </w:rPr>
          <w:t xml:space="preserve"> anterior tendinopathy. Foot Ankle </w:t>
        </w:r>
        <w:proofErr w:type="spellStart"/>
        <w:r w:rsidRPr="00E85D4F">
          <w:rPr>
            <w:rFonts w:ascii="Arial" w:eastAsia="Times New Roman" w:hAnsi="Arial" w:cs="Arial"/>
            <w:lang w:val="en-AU" w:eastAsia="nl-NL"/>
          </w:rPr>
          <w:t>Int</w:t>
        </w:r>
        <w:proofErr w:type="spellEnd"/>
        <w:r w:rsidRPr="00E85D4F">
          <w:rPr>
            <w:rFonts w:ascii="Arial" w:eastAsia="Times New Roman" w:hAnsi="Arial" w:cs="Arial"/>
            <w:lang w:val="en-AU" w:eastAsia="nl-NL"/>
          </w:rPr>
          <w:t xml:space="preserve"> 2010;31:212-219</w:t>
        </w:r>
      </w:hyperlink>
    </w:p>
    <w:p w:rsidR="00E85D4F" w:rsidRPr="00E85D4F" w:rsidRDefault="00E85D4F" w:rsidP="00E85D4F">
      <w:pPr>
        <w:pStyle w:val="Lijstalinea"/>
        <w:numPr>
          <w:ilvl w:val="0"/>
          <w:numId w:val="2"/>
        </w:numPr>
        <w:spacing w:after="0" w:line="276" w:lineRule="auto"/>
        <w:rPr>
          <w:rFonts w:ascii="Arial" w:eastAsia="Times New Roman" w:hAnsi="Arial" w:cs="Arial"/>
          <w:lang w:val="en-AU" w:eastAsia="nl-NL"/>
        </w:rPr>
      </w:pPr>
      <w:hyperlink r:id="rId8" w:history="1">
        <w:proofErr w:type="spellStart"/>
        <w:r w:rsidRPr="00E85D4F">
          <w:rPr>
            <w:rFonts w:ascii="Arial" w:eastAsia="Times New Roman" w:hAnsi="Arial" w:cs="Arial"/>
            <w:lang w:val="en-AU" w:eastAsia="nl-NL"/>
          </w:rPr>
          <w:t>Malisoux</w:t>
        </w:r>
        <w:proofErr w:type="spellEnd"/>
        <w:r w:rsidRPr="00E85D4F">
          <w:rPr>
            <w:rFonts w:ascii="Arial" w:eastAsia="Times New Roman" w:hAnsi="Arial" w:cs="Arial"/>
            <w:lang w:val="en-AU" w:eastAsia="nl-NL"/>
          </w:rPr>
          <w:t xml:space="preserve"> et al. Influence of the Heel-to-Toe Drop of Standard Cushioned Running Shoes on Injury Risk in Leisure-Time Runners. Am J Sports Med 2016;44:2933-2940</w:t>
        </w:r>
      </w:hyperlink>
    </w:p>
    <w:p w:rsidR="00E85D4F" w:rsidRPr="00E85D4F" w:rsidRDefault="00E85D4F" w:rsidP="00E85D4F">
      <w:pPr>
        <w:pStyle w:val="Lijstalinea"/>
        <w:numPr>
          <w:ilvl w:val="0"/>
          <w:numId w:val="2"/>
        </w:numPr>
        <w:spacing w:after="0" w:line="276" w:lineRule="auto"/>
        <w:rPr>
          <w:rFonts w:ascii="Arial" w:eastAsia="Times New Roman" w:hAnsi="Arial" w:cs="Arial"/>
          <w:lang w:eastAsia="nl-NL"/>
        </w:rPr>
      </w:pPr>
      <w:hyperlink r:id="rId9" w:history="1">
        <w:r w:rsidRPr="00E85D4F">
          <w:rPr>
            <w:rFonts w:ascii="Arial" w:eastAsia="Times New Roman" w:hAnsi="Arial" w:cs="Arial"/>
            <w:lang w:val="en-AU" w:eastAsia="nl-NL"/>
          </w:rPr>
          <w:t xml:space="preserve">Simpson et al. Tendinopathies of the foot and ankle. </w:t>
        </w:r>
        <w:r w:rsidRPr="00E85D4F">
          <w:rPr>
            <w:rFonts w:ascii="Arial" w:eastAsia="Times New Roman" w:hAnsi="Arial" w:cs="Arial"/>
            <w:lang w:eastAsia="nl-NL"/>
          </w:rPr>
          <w:t xml:space="preserve">Am </w:t>
        </w:r>
        <w:proofErr w:type="spellStart"/>
        <w:r w:rsidRPr="00E85D4F">
          <w:rPr>
            <w:rFonts w:ascii="Arial" w:eastAsia="Times New Roman" w:hAnsi="Arial" w:cs="Arial"/>
            <w:lang w:eastAsia="nl-NL"/>
          </w:rPr>
          <w:t>Fam</w:t>
        </w:r>
        <w:proofErr w:type="spellEnd"/>
        <w:r w:rsidRPr="00E85D4F">
          <w:rPr>
            <w:rFonts w:ascii="Arial" w:eastAsia="Times New Roman" w:hAnsi="Arial" w:cs="Arial"/>
            <w:lang w:eastAsia="nl-NL"/>
          </w:rPr>
          <w:t xml:space="preserve"> </w:t>
        </w:r>
        <w:proofErr w:type="spellStart"/>
        <w:r w:rsidRPr="00E85D4F">
          <w:rPr>
            <w:rFonts w:ascii="Arial" w:eastAsia="Times New Roman" w:hAnsi="Arial" w:cs="Arial"/>
            <w:lang w:eastAsia="nl-NL"/>
          </w:rPr>
          <w:t>Physician</w:t>
        </w:r>
        <w:proofErr w:type="spellEnd"/>
        <w:r w:rsidRPr="00E85D4F">
          <w:rPr>
            <w:rFonts w:ascii="Arial" w:eastAsia="Times New Roman" w:hAnsi="Arial" w:cs="Arial"/>
            <w:lang w:eastAsia="nl-NL"/>
          </w:rPr>
          <w:t xml:space="preserve"> 2009;80:1107-1114</w:t>
        </w:r>
      </w:hyperlink>
    </w:p>
    <w:p w:rsidR="00E85D4F" w:rsidRPr="00E85D4F" w:rsidRDefault="00E85D4F" w:rsidP="00E85D4F">
      <w:pPr>
        <w:spacing w:after="0" w:line="276" w:lineRule="auto"/>
        <w:rPr>
          <w:rFonts w:ascii="Arial" w:eastAsia="Times New Roman" w:hAnsi="Arial" w:cs="Arial"/>
          <w:lang w:eastAsia="nl-NL"/>
        </w:rPr>
      </w:pPr>
      <w:r w:rsidRPr="00E85D4F">
        <w:rPr>
          <w:rFonts w:ascii="Arial" w:eastAsia="Times New Roman" w:hAnsi="Arial" w:cs="Arial"/>
          <w:lang w:eastAsia="nl-NL"/>
        </w:rPr>
        <w:t> </w:t>
      </w:r>
    </w:p>
    <w:p w:rsidR="00E85D4F" w:rsidRPr="00E85D4F" w:rsidRDefault="00E85D4F" w:rsidP="00E85D4F">
      <w:pPr>
        <w:spacing w:after="0" w:line="276" w:lineRule="auto"/>
        <w:rPr>
          <w:rFonts w:ascii="Arial" w:hAnsi="Arial" w:cs="Arial"/>
        </w:rPr>
      </w:pPr>
    </w:p>
    <w:sectPr w:rsidR="00E85D4F" w:rsidRPr="00E85D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70154"/>
    <w:multiLevelType w:val="multilevel"/>
    <w:tmpl w:val="25C0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DB7750"/>
    <w:multiLevelType w:val="hybridMultilevel"/>
    <w:tmpl w:val="50264B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26"/>
    <w:rsid w:val="008F5F26"/>
    <w:rsid w:val="00CE5A8F"/>
    <w:rsid w:val="00E85D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3FF7F"/>
  <w15:chartTrackingRefBased/>
  <w15:docId w15:val="{C462D54B-9237-4053-B614-1EBD806E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E85D4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E85D4F"/>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85D4F"/>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E85D4F"/>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E85D4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E85D4F"/>
    <w:rPr>
      <w:i/>
      <w:iCs/>
    </w:rPr>
  </w:style>
  <w:style w:type="character" w:styleId="Hyperlink">
    <w:name w:val="Hyperlink"/>
    <w:basedOn w:val="Standaardalinea-lettertype"/>
    <w:uiPriority w:val="99"/>
    <w:semiHidden/>
    <w:unhideWhenUsed/>
    <w:rsid w:val="00E85D4F"/>
    <w:rPr>
      <w:color w:val="0000FF"/>
      <w:u w:val="single"/>
    </w:rPr>
  </w:style>
  <w:style w:type="paragraph" w:styleId="Lijstalinea">
    <w:name w:val="List Paragraph"/>
    <w:basedOn w:val="Standaard"/>
    <w:uiPriority w:val="34"/>
    <w:qFormat/>
    <w:rsid w:val="00E85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17875">
      <w:bodyDiv w:val="1"/>
      <w:marLeft w:val="150"/>
      <w:marRight w:val="150"/>
      <w:marTop w:val="135"/>
      <w:marBottom w:val="135"/>
      <w:divBdr>
        <w:top w:val="none" w:sz="0" w:space="0" w:color="auto"/>
        <w:left w:val="none" w:sz="0" w:space="0" w:color="auto"/>
        <w:bottom w:val="none" w:sz="0" w:space="0" w:color="auto"/>
        <w:right w:val="none" w:sz="0" w:space="0" w:color="auto"/>
      </w:divBdr>
      <w:divsChild>
        <w:div w:id="90930643">
          <w:marLeft w:val="0"/>
          <w:marRight w:val="0"/>
          <w:marTop w:val="0"/>
          <w:marBottom w:val="0"/>
          <w:divBdr>
            <w:top w:val="none" w:sz="0" w:space="0" w:color="auto"/>
            <w:left w:val="none" w:sz="0" w:space="0" w:color="auto"/>
            <w:bottom w:val="none" w:sz="0" w:space="0" w:color="auto"/>
            <w:right w:val="none" w:sz="0" w:space="0" w:color="auto"/>
          </w:divBdr>
          <w:divsChild>
            <w:div w:id="20937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7501833" TargetMode="External"/><Relationship Id="rId3" Type="http://schemas.openxmlformats.org/officeDocument/2006/relationships/settings" Target="settings.xml"/><Relationship Id="rId7" Type="http://schemas.openxmlformats.org/officeDocument/2006/relationships/hyperlink" Target="https://www.ncbi.nlm.nih.gov/pubmed/202306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72812921"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ubmed/19904895"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F139B6F8</Template>
  <TotalTime>4</TotalTime>
  <Pages>3</Pages>
  <Words>909</Words>
  <Characters>5004</Characters>
  <Application>Microsoft Office Word</Application>
  <DocSecurity>0</DocSecurity>
  <Lines>41</Lines>
  <Paragraphs>11</Paragraphs>
  <ScaleCrop>false</ScaleCrop>
  <Company>Albert Schweitzer ziekenhuis</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2</cp:revision>
  <dcterms:created xsi:type="dcterms:W3CDTF">2020-09-16T13:30:00Z</dcterms:created>
  <dcterms:modified xsi:type="dcterms:W3CDTF">2020-09-16T13:34:00Z</dcterms:modified>
</cp:coreProperties>
</file>