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1F1" w:rsidRPr="000B01F1" w:rsidRDefault="000B01F1" w:rsidP="000B01F1">
      <w:pPr>
        <w:spacing w:after="0" w:line="276" w:lineRule="auto"/>
        <w:rPr>
          <w:rFonts w:ascii="Arial" w:hAnsi="Arial" w:cs="Arial"/>
          <w:sz w:val="36"/>
          <w:szCs w:val="36"/>
        </w:rPr>
      </w:pPr>
      <w:bookmarkStart w:id="0" w:name="_GoBack"/>
      <w:bookmarkEnd w:id="0"/>
      <w:proofErr w:type="spellStart"/>
      <w:r w:rsidRPr="000B01F1">
        <w:rPr>
          <w:rFonts w:ascii="Arial" w:hAnsi="Arial" w:cs="Arial"/>
          <w:sz w:val="36"/>
          <w:szCs w:val="36"/>
        </w:rPr>
        <w:t>Osteochondraal</w:t>
      </w:r>
      <w:proofErr w:type="spellEnd"/>
      <w:r w:rsidRPr="000B01F1">
        <w:rPr>
          <w:rFonts w:ascii="Arial" w:hAnsi="Arial" w:cs="Arial"/>
          <w:sz w:val="36"/>
          <w:szCs w:val="36"/>
        </w:rPr>
        <w:t xml:space="preserve"> </w:t>
      </w:r>
      <w:proofErr w:type="spellStart"/>
      <w:r w:rsidRPr="000B01F1">
        <w:rPr>
          <w:rFonts w:ascii="Arial" w:hAnsi="Arial" w:cs="Arial"/>
          <w:sz w:val="36"/>
          <w:szCs w:val="36"/>
        </w:rPr>
        <w:t>defecten</w:t>
      </w:r>
      <w:proofErr w:type="spellEnd"/>
    </w:p>
    <w:p w:rsidR="000B01F1" w:rsidRPr="000B01F1" w:rsidRDefault="000B01F1" w:rsidP="000B01F1">
      <w:pPr>
        <w:spacing w:after="0" w:line="276" w:lineRule="auto"/>
        <w:rPr>
          <w:rFonts w:ascii="Arial" w:hAnsi="Arial" w:cs="Arial"/>
        </w:rPr>
      </w:pPr>
    </w:p>
    <w:p w:rsidR="000B01F1" w:rsidRPr="000B01F1" w:rsidRDefault="000B01F1" w:rsidP="000B01F1">
      <w:pPr>
        <w:spacing w:after="0" w:line="276" w:lineRule="auto"/>
        <w:rPr>
          <w:rFonts w:ascii="Arial" w:hAnsi="Arial" w:cs="Arial"/>
          <w:sz w:val="28"/>
          <w:szCs w:val="28"/>
        </w:rPr>
      </w:pPr>
      <w:proofErr w:type="spellStart"/>
      <w:r w:rsidRPr="000B01F1">
        <w:rPr>
          <w:rFonts w:ascii="Arial" w:eastAsia="Times New Roman" w:hAnsi="Arial" w:cs="Arial"/>
          <w:bCs/>
          <w:sz w:val="28"/>
          <w:szCs w:val="28"/>
          <w:lang w:eastAsia="nl-NL"/>
        </w:rPr>
        <w:t>Key</w:t>
      </w:r>
      <w:proofErr w:type="spellEnd"/>
      <w:r w:rsidRPr="000B01F1">
        <w:rPr>
          <w:rFonts w:ascii="Arial" w:eastAsia="Times New Roman" w:hAnsi="Arial" w:cs="Arial"/>
          <w:bCs/>
          <w:sz w:val="28"/>
          <w:szCs w:val="28"/>
          <w:lang w:eastAsia="nl-NL"/>
        </w:rPr>
        <w:t>-points</w:t>
      </w:r>
    </w:p>
    <w:p w:rsidR="000B01F1" w:rsidRPr="000B01F1" w:rsidRDefault="000B01F1" w:rsidP="000B01F1">
      <w:pPr>
        <w:numPr>
          <w:ilvl w:val="0"/>
          <w:numId w:val="1"/>
        </w:numPr>
        <w:spacing w:after="0" w:line="276" w:lineRule="auto"/>
        <w:ind w:left="870"/>
        <w:rPr>
          <w:rFonts w:ascii="Arial" w:eastAsia="Times New Roman" w:hAnsi="Arial" w:cs="Arial"/>
          <w:lang w:eastAsia="nl-NL"/>
        </w:rPr>
      </w:pPr>
      <w:proofErr w:type="spellStart"/>
      <w:r w:rsidRPr="000B01F1">
        <w:rPr>
          <w:rFonts w:ascii="Arial" w:eastAsia="Times New Roman" w:hAnsi="Arial" w:cs="Arial"/>
          <w:lang w:eastAsia="nl-NL"/>
        </w:rPr>
        <w:t>Osteochondraal</w:t>
      </w:r>
      <w:proofErr w:type="spellEnd"/>
      <w:r w:rsidRPr="000B01F1">
        <w:rPr>
          <w:rFonts w:ascii="Arial" w:eastAsia="Times New Roman" w:hAnsi="Arial" w:cs="Arial"/>
          <w:lang w:eastAsia="nl-NL"/>
        </w:rPr>
        <w:t xml:space="preserve"> defecten in de </w:t>
      </w:r>
      <w:proofErr w:type="spellStart"/>
      <w:r w:rsidRPr="000B01F1">
        <w:rPr>
          <w:rFonts w:ascii="Arial" w:eastAsia="Times New Roman" w:hAnsi="Arial" w:cs="Arial"/>
          <w:lang w:eastAsia="nl-NL"/>
        </w:rPr>
        <w:t>elleboog</w:t>
      </w:r>
      <w:proofErr w:type="spellEnd"/>
      <w:r w:rsidRPr="000B01F1">
        <w:rPr>
          <w:rFonts w:ascii="Arial" w:eastAsia="Times New Roman" w:hAnsi="Arial" w:cs="Arial"/>
          <w:lang w:eastAsia="nl-NL"/>
        </w:rPr>
        <w:t xml:space="preserve"> komen met name voor in het </w:t>
      </w:r>
      <w:proofErr w:type="spellStart"/>
      <w:r w:rsidRPr="000B01F1">
        <w:rPr>
          <w:rFonts w:ascii="Arial" w:eastAsia="Times New Roman" w:hAnsi="Arial" w:cs="Arial"/>
          <w:lang w:eastAsia="nl-NL"/>
        </w:rPr>
        <w:t>capitellum</w:t>
      </w:r>
      <w:proofErr w:type="spellEnd"/>
      <w:r w:rsidRPr="000B01F1">
        <w:rPr>
          <w:rFonts w:ascii="Arial" w:eastAsia="Times New Roman" w:hAnsi="Arial" w:cs="Arial"/>
          <w:lang w:eastAsia="nl-NL"/>
        </w:rPr>
        <w:t xml:space="preserve"> en worden ingedeeld in stabiele en instabiele laesies.</w:t>
      </w:r>
    </w:p>
    <w:p w:rsidR="000B01F1" w:rsidRPr="000B01F1" w:rsidRDefault="000B01F1" w:rsidP="000B01F1">
      <w:pPr>
        <w:numPr>
          <w:ilvl w:val="0"/>
          <w:numId w:val="1"/>
        </w:numPr>
        <w:spacing w:after="0" w:line="276" w:lineRule="auto"/>
        <w:ind w:left="870"/>
        <w:rPr>
          <w:rFonts w:ascii="Arial" w:eastAsia="Times New Roman" w:hAnsi="Arial" w:cs="Arial"/>
          <w:lang w:eastAsia="nl-NL"/>
        </w:rPr>
      </w:pPr>
      <w:r w:rsidRPr="000B01F1">
        <w:rPr>
          <w:rFonts w:ascii="Arial" w:eastAsia="Times New Roman" w:hAnsi="Arial" w:cs="Arial"/>
          <w:lang w:eastAsia="nl-NL"/>
        </w:rPr>
        <w:t>Stabiele laesies worden in opzet conservatief behandeld.</w:t>
      </w:r>
    </w:p>
    <w:p w:rsidR="000B01F1" w:rsidRPr="000B01F1" w:rsidRDefault="000B01F1" w:rsidP="000B01F1">
      <w:pPr>
        <w:numPr>
          <w:ilvl w:val="0"/>
          <w:numId w:val="1"/>
        </w:numPr>
        <w:spacing w:after="0" w:line="276" w:lineRule="auto"/>
        <w:ind w:left="870"/>
        <w:rPr>
          <w:rFonts w:ascii="Arial" w:eastAsia="Times New Roman" w:hAnsi="Arial" w:cs="Arial"/>
          <w:lang w:eastAsia="nl-NL"/>
        </w:rPr>
      </w:pPr>
      <w:r w:rsidRPr="000B01F1">
        <w:rPr>
          <w:rFonts w:ascii="Arial" w:eastAsia="Times New Roman" w:hAnsi="Arial" w:cs="Arial"/>
          <w:lang w:eastAsia="nl-NL"/>
        </w:rPr>
        <w:t xml:space="preserve">Verschillende operatietechnieken kunnen worden toegepast bij instabiele laesies, waaronder (arthroscopisch) </w:t>
      </w:r>
      <w:proofErr w:type="spellStart"/>
      <w:r w:rsidRPr="000B01F1">
        <w:rPr>
          <w:rFonts w:ascii="Arial" w:eastAsia="Times New Roman" w:hAnsi="Arial" w:cs="Arial"/>
          <w:lang w:eastAsia="nl-NL"/>
        </w:rPr>
        <w:t>debridement</w:t>
      </w:r>
      <w:proofErr w:type="spellEnd"/>
      <w:r w:rsidRPr="000B01F1">
        <w:rPr>
          <w:rFonts w:ascii="Arial" w:eastAsia="Times New Roman" w:hAnsi="Arial" w:cs="Arial"/>
          <w:lang w:eastAsia="nl-NL"/>
        </w:rPr>
        <w:t xml:space="preserve"> &amp; </w:t>
      </w:r>
      <w:proofErr w:type="spellStart"/>
      <w:r w:rsidRPr="000B01F1">
        <w:rPr>
          <w:rFonts w:ascii="Arial" w:eastAsia="Times New Roman" w:hAnsi="Arial" w:cs="Arial"/>
          <w:lang w:eastAsia="nl-NL"/>
        </w:rPr>
        <w:t>microfracture</w:t>
      </w:r>
      <w:proofErr w:type="spellEnd"/>
      <w:r w:rsidRPr="000B01F1">
        <w:rPr>
          <w:rFonts w:ascii="Arial" w:eastAsia="Times New Roman" w:hAnsi="Arial" w:cs="Arial"/>
          <w:lang w:eastAsia="nl-NL"/>
        </w:rPr>
        <w:t xml:space="preserve">, fixatie en </w:t>
      </w:r>
      <w:proofErr w:type="spellStart"/>
      <w:r w:rsidRPr="000B01F1">
        <w:rPr>
          <w:rFonts w:ascii="Arial" w:eastAsia="Times New Roman" w:hAnsi="Arial" w:cs="Arial"/>
          <w:lang w:eastAsia="nl-NL"/>
        </w:rPr>
        <w:t>osteochondrale</w:t>
      </w:r>
      <w:proofErr w:type="spellEnd"/>
      <w:r w:rsidRPr="000B01F1">
        <w:rPr>
          <w:rFonts w:ascii="Arial" w:eastAsia="Times New Roman" w:hAnsi="Arial" w:cs="Arial"/>
          <w:lang w:eastAsia="nl-NL"/>
        </w:rPr>
        <w:t xml:space="preserve"> autograft transfers (OATS).</w:t>
      </w:r>
    </w:p>
    <w:p w:rsidR="000B01F1" w:rsidRDefault="000B01F1" w:rsidP="000B01F1">
      <w:pPr>
        <w:spacing w:after="0" w:line="276" w:lineRule="auto"/>
        <w:rPr>
          <w:rFonts w:ascii="Arial" w:eastAsia="Times New Roman" w:hAnsi="Arial" w:cs="Arial"/>
          <w:lang w:eastAsia="nl-NL"/>
        </w:rPr>
      </w:pPr>
    </w:p>
    <w:p w:rsidR="000B01F1" w:rsidRPr="000B01F1" w:rsidRDefault="000B01F1" w:rsidP="000B01F1">
      <w:pPr>
        <w:spacing w:after="0" w:line="276" w:lineRule="auto"/>
        <w:rPr>
          <w:rFonts w:ascii="Arial" w:eastAsia="Times New Roman" w:hAnsi="Arial" w:cs="Arial"/>
          <w:sz w:val="28"/>
          <w:szCs w:val="28"/>
          <w:lang w:eastAsia="nl-NL"/>
        </w:rPr>
      </w:pPr>
      <w:r w:rsidRPr="000B01F1">
        <w:rPr>
          <w:rFonts w:ascii="Arial" w:eastAsia="Times New Roman" w:hAnsi="Arial" w:cs="Arial"/>
          <w:bCs/>
          <w:sz w:val="28"/>
          <w:szCs w:val="28"/>
          <w:lang w:eastAsia="nl-NL"/>
        </w:rPr>
        <w:t>Achtergrond</w:t>
      </w:r>
    </w:p>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lang w:eastAsia="nl-NL"/>
        </w:rPr>
        <w:t xml:space="preserve">Een </w:t>
      </w:r>
      <w:proofErr w:type="spellStart"/>
      <w:r w:rsidRPr="000B01F1">
        <w:rPr>
          <w:rFonts w:ascii="Arial" w:eastAsia="Times New Roman" w:hAnsi="Arial" w:cs="Arial"/>
          <w:lang w:eastAsia="nl-NL"/>
        </w:rPr>
        <w:t>osteochondraal</w:t>
      </w:r>
      <w:proofErr w:type="spellEnd"/>
      <w:r w:rsidRPr="000B01F1">
        <w:rPr>
          <w:rFonts w:ascii="Arial" w:eastAsia="Times New Roman" w:hAnsi="Arial" w:cs="Arial"/>
          <w:lang w:eastAsia="nl-NL"/>
        </w:rPr>
        <w:t xml:space="preserve"> defect (OCD) van de </w:t>
      </w:r>
      <w:proofErr w:type="spellStart"/>
      <w:r w:rsidRPr="000B01F1">
        <w:rPr>
          <w:rFonts w:ascii="Arial" w:eastAsia="Times New Roman" w:hAnsi="Arial" w:cs="Arial"/>
          <w:lang w:eastAsia="nl-NL"/>
        </w:rPr>
        <w:t>elleboog</w:t>
      </w:r>
      <w:proofErr w:type="spellEnd"/>
      <w:r w:rsidRPr="000B01F1">
        <w:rPr>
          <w:rFonts w:ascii="Arial" w:eastAsia="Times New Roman" w:hAnsi="Arial" w:cs="Arial"/>
          <w:lang w:eastAsia="nl-NL"/>
        </w:rPr>
        <w:t xml:space="preserve"> is een aandoening van het kraakbeen en het </w:t>
      </w:r>
      <w:proofErr w:type="spellStart"/>
      <w:r w:rsidRPr="000B01F1">
        <w:rPr>
          <w:rFonts w:ascii="Arial" w:eastAsia="Times New Roman" w:hAnsi="Arial" w:cs="Arial"/>
          <w:lang w:eastAsia="nl-NL"/>
        </w:rPr>
        <w:t>subchondrale</w:t>
      </w:r>
      <w:proofErr w:type="spellEnd"/>
      <w:r w:rsidRPr="000B01F1">
        <w:rPr>
          <w:rFonts w:ascii="Arial" w:eastAsia="Times New Roman" w:hAnsi="Arial" w:cs="Arial"/>
          <w:lang w:eastAsia="nl-NL"/>
        </w:rPr>
        <w:t xml:space="preserve"> bot, dat het meest voorkomt in het </w:t>
      </w:r>
      <w:proofErr w:type="spellStart"/>
      <w:r w:rsidRPr="000B01F1">
        <w:rPr>
          <w:rFonts w:ascii="Arial" w:eastAsia="Times New Roman" w:hAnsi="Arial" w:cs="Arial"/>
          <w:lang w:eastAsia="nl-NL"/>
        </w:rPr>
        <w:t>capitellum</w:t>
      </w:r>
      <w:proofErr w:type="spellEnd"/>
      <w:r w:rsidRPr="000B01F1">
        <w:rPr>
          <w:rFonts w:ascii="Arial" w:eastAsia="Times New Roman" w:hAnsi="Arial" w:cs="Arial"/>
          <w:lang w:eastAsia="nl-NL"/>
        </w:rPr>
        <w:t xml:space="preserve"> van jonge (&gt;11 jaar oud) turnsters en bovenhandse sporters. De hypothese is dat het veroorzaakt wordt door repetitieve compressiekrachten (zie VEOS) op het matig gevasculariseerde </w:t>
      </w:r>
      <w:proofErr w:type="spellStart"/>
      <w:r w:rsidRPr="000B01F1">
        <w:rPr>
          <w:rFonts w:ascii="Arial" w:eastAsia="Times New Roman" w:hAnsi="Arial" w:cs="Arial"/>
          <w:lang w:eastAsia="nl-NL"/>
        </w:rPr>
        <w:t>capitellum</w:t>
      </w:r>
      <w:proofErr w:type="spellEnd"/>
      <w:r w:rsidRPr="000B01F1">
        <w:rPr>
          <w:rFonts w:ascii="Arial" w:eastAsia="Times New Roman" w:hAnsi="Arial" w:cs="Arial"/>
          <w:lang w:eastAsia="nl-NL"/>
        </w:rPr>
        <w:t xml:space="preserve">. </w:t>
      </w:r>
      <w:proofErr w:type="spellStart"/>
      <w:r w:rsidRPr="000B01F1">
        <w:rPr>
          <w:rFonts w:ascii="Arial" w:eastAsia="Times New Roman" w:hAnsi="Arial" w:cs="Arial"/>
          <w:lang w:eastAsia="nl-NL"/>
        </w:rPr>
        <w:t>Panner</w:t>
      </w:r>
      <w:proofErr w:type="spellEnd"/>
      <w:r w:rsidRPr="000B01F1">
        <w:rPr>
          <w:rFonts w:ascii="Arial" w:eastAsia="Times New Roman" w:hAnsi="Arial" w:cs="Arial"/>
          <w:lang w:eastAsia="nl-NL"/>
        </w:rPr>
        <w:t xml:space="preserve"> </w:t>
      </w:r>
      <w:proofErr w:type="spellStart"/>
      <w:r w:rsidRPr="000B01F1">
        <w:rPr>
          <w:rFonts w:ascii="Arial" w:eastAsia="Times New Roman" w:hAnsi="Arial" w:cs="Arial"/>
          <w:lang w:eastAsia="nl-NL"/>
        </w:rPr>
        <w:t>disease</w:t>
      </w:r>
      <w:proofErr w:type="spellEnd"/>
      <w:r w:rsidRPr="000B01F1">
        <w:rPr>
          <w:rFonts w:ascii="Arial" w:eastAsia="Times New Roman" w:hAnsi="Arial" w:cs="Arial"/>
          <w:lang w:eastAsia="nl-NL"/>
        </w:rPr>
        <w:t xml:space="preserve"> is een </w:t>
      </w:r>
      <w:proofErr w:type="spellStart"/>
      <w:r w:rsidRPr="000B01F1">
        <w:rPr>
          <w:rFonts w:ascii="Arial" w:eastAsia="Times New Roman" w:hAnsi="Arial" w:cs="Arial"/>
          <w:lang w:eastAsia="nl-NL"/>
        </w:rPr>
        <w:t>osteochondrosis</w:t>
      </w:r>
      <w:proofErr w:type="spellEnd"/>
      <w:r w:rsidRPr="000B01F1">
        <w:rPr>
          <w:rFonts w:ascii="Arial" w:eastAsia="Times New Roman" w:hAnsi="Arial" w:cs="Arial"/>
          <w:lang w:eastAsia="nl-NL"/>
        </w:rPr>
        <w:t xml:space="preserve"> (waarschijnlijk </w:t>
      </w:r>
      <w:proofErr w:type="spellStart"/>
      <w:r w:rsidRPr="000B01F1">
        <w:rPr>
          <w:rFonts w:ascii="Arial" w:eastAsia="Times New Roman" w:hAnsi="Arial" w:cs="Arial"/>
          <w:lang w:eastAsia="nl-NL"/>
        </w:rPr>
        <w:t>avasculaire</w:t>
      </w:r>
      <w:proofErr w:type="spellEnd"/>
      <w:r w:rsidRPr="000B01F1">
        <w:rPr>
          <w:rFonts w:ascii="Arial" w:eastAsia="Times New Roman" w:hAnsi="Arial" w:cs="Arial"/>
          <w:lang w:eastAsia="nl-NL"/>
        </w:rPr>
        <w:t xml:space="preserve"> aandoening) van het </w:t>
      </w:r>
      <w:proofErr w:type="spellStart"/>
      <w:r w:rsidRPr="000B01F1">
        <w:rPr>
          <w:rFonts w:ascii="Arial" w:eastAsia="Times New Roman" w:hAnsi="Arial" w:cs="Arial"/>
          <w:lang w:eastAsia="nl-NL"/>
        </w:rPr>
        <w:t>capitellum</w:t>
      </w:r>
      <w:proofErr w:type="spellEnd"/>
      <w:r w:rsidRPr="000B01F1">
        <w:rPr>
          <w:rFonts w:ascii="Arial" w:eastAsia="Times New Roman" w:hAnsi="Arial" w:cs="Arial"/>
          <w:lang w:eastAsia="nl-NL"/>
        </w:rPr>
        <w:t xml:space="preserve"> bij kinderen &lt;10 jaar oud en hersteld over het algemeen zonder interventies. </w:t>
      </w:r>
      <w:proofErr w:type="spellStart"/>
      <w:r w:rsidRPr="000B01F1">
        <w:rPr>
          <w:rFonts w:ascii="Arial" w:eastAsia="Times New Roman" w:hAnsi="Arial" w:cs="Arial"/>
          <w:lang w:eastAsia="nl-NL"/>
        </w:rPr>
        <w:t>Panner</w:t>
      </w:r>
      <w:proofErr w:type="spellEnd"/>
      <w:r w:rsidRPr="000B01F1">
        <w:rPr>
          <w:rFonts w:ascii="Arial" w:eastAsia="Times New Roman" w:hAnsi="Arial" w:cs="Arial"/>
          <w:lang w:eastAsia="nl-NL"/>
        </w:rPr>
        <w:t xml:space="preserve"> dient altijd van een OCD onderscheiden te worden. </w:t>
      </w:r>
      <w:proofErr w:type="spellStart"/>
      <w:r w:rsidRPr="000B01F1">
        <w:rPr>
          <w:rFonts w:ascii="Arial" w:eastAsia="Times New Roman" w:hAnsi="Arial" w:cs="Arial"/>
          <w:lang w:eastAsia="nl-NL"/>
        </w:rPr>
        <w:t>OCDs</w:t>
      </w:r>
      <w:proofErr w:type="spellEnd"/>
      <w:r w:rsidRPr="000B01F1">
        <w:rPr>
          <w:rFonts w:ascii="Arial" w:eastAsia="Times New Roman" w:hAnsi="Arial" w:cs="Arial"/>
          <w:lang w:eastAsia="nl-NL"/>
        </w:rPr>
        <w:t xml:space="preserve"> worden vooral gezien in de dominante arm bij sporters vanaf 11 jaar en vereisen over het algemeen wel een behandeling.</w:t>
      </w:r>
    </w:p>
    <w:p w:rsidR="000D7734" w:rsidRDefault="000D7734" w:rsidP="000D7734">
      <w:pPr>
        <w:spacing w:after="0" w:line="276" w:lineRule="auto"/>
        <w:rPr>
          <w:rFonts w:ascii="Arial" w:eastAsia="Times New Roman" w:hAnsi="Arial" w:cs="Arial"/>
          <w:lang w:eastAsia="nl-NL"/>
        </w:rPr>
      </w:pPr>
    </w:p>
    <w:p w:rsidR="000B01F1" w:rsidRPr="000B01F1" w:rsidRDefault="000B01F1" w:rsidP="000D7734">
      <w:pPr>
        <w:spacing w:after="0" w:line="276" w:lineRule="auto"/>
        <w:rPr>
          <w:rFonts w:ascii="Arial" w:eastAsia="Times New Roman" w:hAnsi="Arial" w:cs="Arial"/>
          <w:sz w:val="28"/>
          <w:szCs w:val="28"/>
          <w:lang w:eastAsia="nl-NL"/>
        </w:rPr>
      </w:pPr>
      <w:proofErr w:type="spellStart"/>
      <w:r w:rsidRPr="000B01F1">
        <w:rPr>
          <w:rFonts w:ascii="Arial" w:eastAsia="Times New Roman" w:hAnsi="Arial" w:cs="Arial"/>
          <w:bCs/>
          <w:sz w:val="28"/>
          <w:szCs w:val="28"/>
          <w:lang w:eastAsia="nl-NL"/>
        </w:rPr>
        <w:t>Work</w:t>
      </w:r>
      <w:proofErr w:type="spellEnd"/>
      <w:r w:rsidRPr="000B01F1">
        <w:rPr>
          <w:rFonts w:ascii="Arial" w:eastAsia="Times New Roman" w:hAnsi="Arial" w:cs="Arial"/>
          <w:bCs/>
          <w:sz w:val="28"/>
          <w:szCs w:val="28"/>
          <w:lang w:eastAsia="nl-NL"/>
        </w:rPr>
        <w:t>-up</w:t>
      </w:r>
    </w:p>
    <w:p w:rsid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lang w:eastAsia="nl-NL"/>
        </w:rPr>
        <w:t xml:space="preserve">In vroege stadia presenteren patiënten zich vooral met pijn en betreft het nog een stabiele laesie. Als de laesie in een latere periode instabiel wordt en losraakt, kan de pijn toenemen en zijn er anamnestisch klachten van </w:t>
      </w:r>
      <w:proofErr w:type="spellStart"/>
      <w:r w:rsidRPr="000B01F1">
        <w:rPr>
          <w:rFonts w:ascii="Arial" w:eastAsia="Times New Roman" w:hAnsi="Arial" w:cs="Arial"/>
          <w:lang w:eastAsia="nl-NL"/>
        </w:rPr>
        <w:t>crepitaties</w:t>
      </w:r>
      <w:proofErr w:type="spellEnd"/>
      <w:r w:rsidRPr="000B01F1">
        <w:rPr>
          <w:rFonts w:ascii="Arial" w:eastAsia="Times New Roman" w:hAnsi="Arial" w:cs="Arial"/>
          <w:lang w:eastAsia="nl-NL"/>
        </w:rPr>
        <w:t xml:space="preserve">, slotklachten en verminderde beweeglijkheid van de </w:t>
      </w:r>
      <w:proofErr w:type="spellStart"/>
      <w:r w:rsidRPr="000B01F1">
        <w:rPr>
          <w:rFonts w:ascii="Arial" w:eastAsia="Times New Roman" w:hAnsi="Arial" w:cs="Arial"/>
          <w:lang w:eastAsia="nl-NL"/>
        </w:rPr>
        <w:t>elleboog</w:t>
      </w:r>
      <w:proofErr w:type="spellEnd"/>
      <w:r w:rsidRPr="000B01F1">
        <w:rPr>
          <w:rFonts w:ascii="Arial" w:eastAsia="Times New Roman" w:hAnsi="Arial" w:cs="Arial"/>
          <w:lang w:eastAsia="nl-NL"/>
        </w:rPr>
        <w:t xml:space="preserve">. Bij lichamelijk onderzoek kan er zwelling en drukpijn over het </w:t>
      </w:r>
      <w:proofErr w:type="spellStart"/>
      <w:r w:rsidRPr="000B01F1">
        <w:rPr>
          <w:rFonts w:ascii="Arial" w:eastAsia="Times New Roman" w:hAnsi="Arial" w:cs="Arial"/>
          <w:lang w:eastAsia="nl-NL"/>
        </w:rPr>
        <w:t>radiocapitellaire</w:t>
      </w:r>
      <w:proofErr w:type="spellEnd"/>
      <w:r w:rsidRPr="000B01F1">
        <w:rPr>
          <w:rFonts w:ascii="Arial" w:eastAsia="Times New Roman" w:hAnsi="Arial" w:cs="Arial"/>
          <w:lang w:eastAsia="nl-NL"/>
        </w:rPr>
        <w:t xml:space="preserve"> gewricht zijn. Soms is er een extensiebeperking. Daarnaast kan er sprake zijn van </w:t>
      </w:r>
      <w:proofErr w:type="spellStart"/>
      <w:r w:rsidRPr="000B01F1">
        <w:rPr>
          <w:rFonts w:ascii="Arial" w:eastAsia="Times New Roman" w:hAnsi="Arial" w:cs="Arial"/>
          <w:lang w:eastAsia="nl-NL"/>
        </w:rPr>
        <w:t>crepitaties</w:t>
      </w:r>
      <w:proofErr w:type="spellEnd"/>
      <w:r w:rsidRPr="000B01F1">
        <w:rPr>
          <w:rFonts w:ascii="Arial" w:eastAsia="Times New Roman" w:hAnsi="Arial" w:cs="Arial"/>
          <w:lang w:eastAsia="nl-NL"/>
        </w:rPr>
        <w:t xml:space="preserve"> bij de grip-</w:t>
      </w:r>
      <w:proofErr w:type="spellStart"/>
      <w:r w:rsidRPr="000B01F1">
        <w:rPr>
          <w:rFonts w:ascii="Arial" w:eastAsia="Times New Roman" w:hAnsi="Arial" w:cs="Arial"/>
          <w:lang w:eastAsia="nl-NL"/>
        </w:rPr>
        <w:t>and</w:t>
      </w:r>
      <w:proofErr w:type="spellEnd"/>
      <w:r w:rsidRPr="000B01F1">
        <w:rPr>
          <w:rFonts w:ascii="Arial" w:eastAsia="Times New Roman" w:hAnsi="Arial" w:cs="Arial"/>
          <w:lang w:eastAsia="nl-NL"/>
        </w:rPr>
        <w:t xml:space="preserve">-grind test (passieve rotaties in flexie en extensie met een axiale compressie op het </w:t>
      </w:r>
      <w:proofErr w:type="spellStart"/>
      <w:r w:rsidRPr="000B01F1">
        <w:rPr>
          <w:rFonts w:ascii="Arial" w:eastAsia="Times New Roman" w:hAnsi="Arial" w:cs="Arial"/>
          <w:lang w:eastAsia="nl-NL"/>
        </w:rPr>
        <w:t>radiocapitellaire</w:t>
      </w:r>
      <w:proofErr w:type="spellEnd"/>
      <w:r w:rsidRPr="000B01F1">
        <w:rPr>
          <w:rFonts w:ascii="Arial" w:eastAsia="Times New Roman" w:hAnsi="Arial" w:cs="Arial"/>
          <w:lang w:eastAsia="nl-NL"/>
        </w:rPr>
        <w:t xml:space="preserve"> gewricht). Aanvullend onderzoek begint met conventionele röntgenfoto’s, waarbij de </w:t>
      </w:r>
      <w:proofErr w:type="gramStart"/>
      <w:r w:rsidRPr="000B01F1">
        <w:rPr>
          <w:rFonts w:ascii="Arial" w:eastAsia="Times New Roman" w:hAnsi="Arial" w:cs="Arial"/>
          <w:lang w:eastAsia="nl-NL"/>
        </w:rPr>
        <w:t>AP foto</w:t>
      </w:r>
      <w:proofErr w:type="gramEnd"/>
      <w:r w:rsidRPr="000B01F1">
        <w:rPr>
          <w:rFonts w:ascii="Arial" w:eastAsia="Times New Roman" w:hAnsi="Arial" w:cs="Arial"/>
          <w:lang w:eastAsia="nl-NL"/>
        </w:rPr>
        <w:t xml:space="preserve"> in 45° flexie vooral </w:t>
      </w:r>
      <w:proofErr w:type="spellStart"/>
      <w:r w:rsidRPr="000B01F1">
        <w:rPr>
          <w:rFonts w:ascii="Arial" w:eastAsia="Times New Roman" w:hAnsi="Arial" w:cs="Arial"/>
          <w:lang w:eastAsia="nl-NL"/>
        </w:rPr>
        <w:t>OCDs</w:t>
      </w:r>
      <w:proofErr w:type="spellEnd"/>
      <w:r w:rsidRPr="000B01F1">
        <w:rPr>
          <w:rFonts w:ascii="Arial" w:eastAsia="Times New Roman" w:hAnsi="Arial" w:cs="Arial"/>
          <w:lang w:eastAsia="nl-NL"/>
        </w:rPr>
        <w:t xml:space="preserve"> kan aantonen die over het algemeen op het anterolaterale deel van het </w:t>
      </w:r>
      <w:proofErr w:type="spellStart"/>
      <w:r w:rsidRPr="000B01F1">
        <w:rPr>
          <w:rFonts w:ascii="Arial" w:eastAsia="Times New Roman" w:hAnsi="Arial" w:cs="Arial"/>
          <w:lang w:eastAsia="nl-NL"/>
        </w:rPr>
        <w:t>capitellum</w:t>
      </w:r>
      <w:proofErr w:type="spellEnd"/>
      <w:r w:rsidRPr="000B01F1">
        <w:rPr>
          <w:rFonts w:ascii="Arial" w:eastAsia="Times New Roman" w:hAnsi="Arial" w:cs="Arial"/>
          <w:lang w:eastAsia="nl-NL"/>
        </w:rPr>
        <w:t xml:space="preserve"> voorkomen. Middels MRI kan het beste de stabiliteit van de laesie worden beoordeeld.</w:t>
      </w:r>
    </w:p>
    <w:p w:rsidR="000D7734" w:rsidRPr="000B01F1" w:rsidRDefault="000D7734" w:rsidP="000B01F1">
      <w:pPr>
        <w:spacing w:after="0" w:line="276" w:lineRule="auto"/>
        <w:rPr>
          <w:rFonts w:ascii="Arial" w:eastAsia="Times New Roman" w:hAnsi="Arial" w:cs="Arial"/>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8"/>
        <w:gridCol w:w="1443"/>
        <w:gridCol w:w="1826"/>
        <w:gridCol w:w="1282"/>
        <w:gridCol w:w="2953"/>
      </w:tblGrid>
      <w:tr w:rsidR="000B01F1" w:rsidRPr="000B01F1" w:rsidTr="000B01F1">
        <w:trPr>
          <w:tblCellSpacing w:w="15" w:type="dxa"/>
        </w:trPr>
        <w:tc>
          <w:tcPr>
            <w:tcW w:w="11505" w:type="dxa"/>
            <w:gridSpan w:val="5"/>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bCs/>
                <w:lang w:eastAsia="nl-NL"/>
              </w:rPr>
              <w:t xml:space="preserve">Classificatie van </w:t>
            </w:r>
            <w:proofErr w:type="spellStart"/>
            <w:r w:rsidRPr="000B01F1">
              <w:rPr>
                <w:rFonts w:ascii="Arial" w:eastAsia="Times New Roman" w:hAnsi="Arial" w:cs="Arial"/>
                <w:bCs/>
                <w:lang w:eastAsia="nl-NL"/>
              </w:rPr>
              <w:t>osteochondraal</w:t>
            </w:r>
            <w:proofErr w:type="spellEnd"/>
            <w:r w:rsidRPr="000B01F1">
              <w:rPr>
                <w:rFonts w:ascii="Arial" w:eastAsia="Times New Roman" w:hAnsi="Arial" w:cs="Arial"/>
                <w:bCs/>
                <w:lang w:eastAsia="nl-NL"/>
              </w:rPr>
              <w:t xml:space="preserve"> defecten van het </w:t>
            </w:r>
            <w:proofErr w:type="spellStart"/>
            <w:r w:rsidRPr="000B01F1">
              <w:rPr>
                <w:rFonts w:ascii="Arial" w:eastAsia="Times New Roman" w:hAnsi="Arial" w:cs="Arial"/>
                <w:bCs/>
                <w:lang w:eastAsia="nl-NL"/>
              </w:rPr>
              <w:t>capitellum</w:t>
            </w:r>
            <w:proofErr w:type="spellEnd"/>
          </w:p>
        </w:tc>
      </w:tr>
      <w:tr w:rsidR="000B01F1" w:rsidRPr="000B01F1" w:rsidTr="000B01F1">
        <w:trPr>
          <w:tblCellSpacing w:w="15" w:type="dxa"/>
        </w:trPr>
        <w:tc>
          <w:tcPr>
            <w:tcW w:w="1800" w:type="dxa"/>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lang w:eastAsia="nl-NL"/>
              </w:rPr>
              <w:t>Classificatie</w:t>
            </w:r>
          </w:p>
        </w:tc>
        <w:tc>
          <w:tcPr>
            <w:tcW w:w="1710" w:type="dxa"/>
            <w:vAlign w:val="center"/>
            <w:hideMark/>
          </w:tcPr>
          <w:p w:rsidR="000B01F1" w:rsidRPr="000B01F1" w:rsidRDefault="000B01F1" w:rsidP="000B01F1">
            <w:pPr>
              <w:spacing w:after="0" w:line="276" w:lineRule="auto"/>
              <w:rPr>
                <w:rFonts w:ascii="Arial" w:eastAsia="Times New Roman" w:hAnsi="Arial" w:cs="Arial"/>
                <w:lang w:eastAsia="nl-NL"/>
              </w:rPr>
            </w:pPr>
            <w:proofErr w:type="spellStart"/>
            <w:r w:rsidRPr="000B01F1">
              <w:rPr>
                <w:rFonts w:ascii="Arial" w:eastAsia="Times New Roman" w:hAnsi="Arial" w:cs="Arial"/>
                <w:lang w:eastAsia="nl-NL"/>
              </w:rPr>
              <w:t>Capitellum</w:t>
            </w:r>
            <w:proofErr w:type="spellEnd"/>
            <w:r w:rsidRPr="000B01F1">
              <w:rPr>
                <w:rFonts w:ascii="Arial" w:eastAsia="Times New Roman" w:hAnsi="Arial" w:cs="Arial"/>
                <w:lang w:eastAsia="nl-NL"/>
              </w:rPr>
              <w:t xml:space="preserve"> groeischijf</w:t>
            </w:r>
          </w:p>
        </w:tc>
        <w:tc>
          <w:tcPr>
            <w:tcW w:w="2130" w:type="dxa"/>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lang w:eastAsia="nl-NL"/>
              </w:rPr>
              <w:t>Radiologische gradering</w:t>
            </w:r>
          </w:p>
        </w:tc>
        <w:tc>
          <w:tcPr>
            <w:tcW w:w="1590" w:type="dxa"/>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lang w:eastAsia="nl-NL"/>
              </w:rPr>
              <w:t>Range of Motion</w:t>
            </w:r>
          </w:p>
        </w:tc>
        <w:tc>
          <w:tcPr>
            <w:tcW w:w="4290" w:type="dxa"/>
            <w:vAlign w:val="center"/>
            <w:hideMark/>
          </w:tcPr>
          <w:p w:rsidR="000B01F1" w:rsidRPr="000B01F1" w:rsidRDefault="000B01F1" w:rsidP="000B01F1">
            <w:pPr>
              <w:spacing w:after="0" w:line="276" w:lineRule="auto"/>
              <w:rPr>
                <w:rFonts w:ascii="Arial" w:eastAsia="Times New Roman" w:hAnsi="Arial" w:cs="Arial"/>
                <w:lang w:val="en-AU" w:eastAsia="nl-NL"/>
              </w:rPr>
            </w:pPr>
            <w:r w:rsidRPr="000B01F1">
              <w:rPr>
                <w:rFonts w:ascii="Arial" w:eastAsia="Times New Roman" w:hAnsi="Arial" w:cs="Arial"/>
                <w:lang w:val="en-AU" w:eastAsia="nl-NL"/>
              </w:rPr>
              <w:t xml:space="preserve">ICRS (International Cartilage Repair Society) </w:t>
            </w:r>
            <w:proofErr w:type="spellStart"/>
            <w:r w:rsidRPr="000B01F1">
              <w:rPr>
                <w:rFonts w:ascii="Arial" w:eastAsia="Times New Roman" w:hAnsi="Arial" w:cs="Arial"/>
                <w:lang w:val="en-AU" w:eastAsia="nl-NL"/>
              </w:rPr>
              <w:t>classificatie</w:t>
            </w:r>
            <w:proofErr w:type="spellEnd"/>
          </w:p>
        </w:tc>
      </w:tr>
      <w:tr w:rsidR="000B01F1" w:rsidRPr="000B01F1" w:rsidTr="000B01F1">
        <w:trPr>
          <w:tblCellSpacing w:w="15" w:type="dxa"/>
        </w:trPr>
        <w:tc>
          <w:tcPr>
            <w:tcW w:w="1800" w:type="dxa"/>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i/>
                <w:iCs/>
                <w:lang w:eastAsia="nl-NL"/>
              </w:rPr>
              <w:t>Stabiel</w:t>
            </w:r>
          </w:p>
        </w:tc>
        <w:tc>
          <w:tcPr>
            <w:tcW w:w="1710" w:type="dxa"/>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i/>
                <w:iCs/>
                <w:lang w:eastAsia="nl-NL"/>
              </w:rPr>
              <w:t>Open</w:t>
            </w:r>
          </w:p>
        </w:tc>
        <w:tc>
          <w:tcPr>
            <w:tcW w:w="2130" w:type="dxa"/>
            <w:vAlign w:val="center"/>
            <w:hideMark/>
          </w:tcPr>
          <w:p w:rsidR="000B01F1" w:rsidRPr="000B01F1" w:rsidRDefault="000B01F1" w:rsidP="000B01F1">
            <w:pPr>
              <w:spacing w:after="0" w:line="276" w:lineRule="auto"/>
              <w:rPr>
                <w:rFonts w:ascii="Arial" w:eastAsia="Times New Roman" w:hAnsi="Arial" w:cs="Arial"/>
                <w:lang w:eastAsia="nl-NL"/>
              </w:rPr>
            </w:pPr>
            <w:proofErr w:type="spellStart"/>
            <w:r w:rsidRPr="000B01F1">
              <w:rPr>
                <w:rFonts w:ascii="Arial" w:eastAsia="Times New Roman" w:hAnsi="Arial" w:cs="Arial"/>
                <w:i/>
                <w:iCs/>
                <w:lang w:eastAsia="nl-NL"/>
              </w:rPr>
              <w:t>Radiolucentie</w:t>
            </w:r>
            <w:proofErr w:type="spellEnd"/>
          </w:p>
        </w:tc>
        <w:tc>
          <w:tcPr>
            <w:tcW w:w="1590" w:type="dxa"/>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i/>
                <w:iCs/>
                <w:lang w:eastAsia="nl-NL"/>
              </w:rPr>
              <w:t>Normaal</w:t>
            </w:r>
          </w:p>
        </w:tc>
        <w:tc>
          <w:tcPr>
            <w:tcW w:w="4290" w:type="dxa"/>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i/>
                <w:iCs/>
                <w:lang w:eastAsia="nl-NL"/>
              </w:rPr>
              <w:t>I</w:t>
            </w:r>
          </w:p>
        </w:tc>
      </w:tr>
      <w:tr w:rsidR="000B01F1" w:rsidRPr="000B01F1" w:rsidTr="000B01F1">
        <w:trPr>
          <w:tblCellSpacing w:w="15" w:type="dxa"/>
        </w:trPr>
        <w:tc>
          <w:tcPr>
            <w:tcW w:w="1800" w:type="dxa"/>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i/>
                <w:iCs/>
                <w:lang w:eastAsia="nl-NL"/>
              </w:rPr>
              <w:t>Instabiel</w:t>
            </w:r>
          </w:p>
        </w:tc>
        <w:tc>
          <w:tcPr>
            <w:tcW w:w="1710" w:type="dxa"/>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i/>
                <w:iCs/>
                <w:lang w:eastAsia="nl-NL"/>
              </w:rPr>
              <w:t>Gesloten</w:t>
            </w:r>
          </w:p>
        </w:tc>
        <w:tc>
          <w:tcPr>
            <w:tcW w:w="2130" w:type="dxa"/>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i/>
                <w:iCs/>
                <w:lang w:eastAsia="nl-NL"/>
              </w:rPr>
              <w:t>Fragmentatie</w:t>
            </w:r>
          </w:p>
        </w:tc>
        <w:tc>
          <w:tcPr>
            <w:tcW w:w="1590" w:type="dxa"/>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i/>
                <w:iCs/>
                <w:lang w:eastAsia="nl-NL"/>
              </w:rPr>
              <w:t>Beperkt</w:t>
            </w:r>
          </w:p>
        </w:tc>
        <w:tc>
          <w:tcPr>
            <w:tcW w:w="4290" w:type="dxa"/>
            <w:vAlign w:val="center"/>
            <w:hideMark/>
          </w:tcPr>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i/>
                <w:iCs/>
                <w:lang w:eastAsia="nl-NL"/>
              </w:rPr>
              <w:t>II, III of IV</w:t>
            </w:r>
          </w:p>
        </w:tc>
      </w:tr>
    </w:tbl>
    <w:p w:rsidR="000D7734" w:rsidRDefault="000D7734" w:rsidP="000D7734">
      <w:pPr>
        <w:spacing w:after="0" w:line="276" w:lineRule="auto"/>
        <w:rPr>
          <w:rFonts w:ascii="Arial" w:eastAsia="Times New Roman" w:hAnsi="Arial" w:cs="Arial"/>
          <w:lang w:eastAsia="nl-NL"/>
        </w:rPr>
      </w:pPr>
    </w:p>
    <w:p w:rsidR="000B01F1" w:rsidRPr="000B01F1" w:rsidRDefault="000B01F1" w:rsidP="000D7734">
      <w:pPr>
        <w:spacing w:after="0" w:line="276" w:lineRule="auto"/>
        <w:rPr>
          <w:rFonts w:ascii="Arial" w:eastAsia="Times New Roman" w:hAnsi="Arial" w:cs="Arial"/>
          <w:lang w:eastAsia="nl-NL"/>
        </w:rPr>
      </w:pPr>
      <w:r w:rsidRPr="000B01F1">
        <w:rPr>
          <w:rFonts w:ascii="Arial" w:eastAsia="Times New Roman" w:hAnsi="Arial" w:cs="Arial"/>
          <w:bCs/>
          <w:sz w:val="28"/>
          <w:szCs w:val="28"/>
          <w:lang w:eastAsia="nl-NL"/>
        </w:rPr>
        <w:t>Behandeling</w:t>
      </w:r>
    </w:p>
    <w:p w:rsidR="000D7734" w:rsidRDefault="000B01F1" w:rsidP="000D7734">
      <w:pPr>
        <w:spacing w:after="0" w:line="276" w:lineRule="auto"/>
        <w:rPr>
          <w:rFonts w:ascii="Arial" w:eastAsia="Times New Roman" w:hAnsi="Arial" w:cs="Arial"/>
          <w:lang w:eastAsia="nl-NL"/>
        </w:rPr>
      </w:pPr>
      <w:r w:rsidRPr="000B01F1">
        <w:rPr>
          <w:rFonts w:ascii="Arial" w:eastAsia="Times New Roman" w:hAnsi="Arial" w:cs="Arial"/>
          <w:lang w:eastAsia="nl-NL"/>
        </w:rPr>
        <w:t>Er is op dit moment nog onvoldoende bewijsvoering om eenduidig te bepalen welke behandelstrategie het beste werkt.</w:t>
      </w:r>
    </w:p>
    <w:p w:rsidR="000D7734" w:rsidRDefault="000D7734" w:rsidP="000D7734">
      <w:pPr>
        <w:spacing w:after="0" w:line="276" w:lineRule="auto"/>
        <w:rPr>
          <w:rFonts w:ascii="Arial" w:eastAsia="Times New Roman" w:hAnsi="Arial" w:cs="Arial"/>
          <w:lang w:eastAsia="nl-NL"/>
        </w:rPr>
      </w:pPr>
    </w:p>
    <w:p w:rsidR="000B01F1" w:rsidRPr="000B01F1" w:rsidRDefault="000B01F1" w:rsidP="000D7734">
      <w:pPr>
        <w:spacing w:after="0" w:line="276" w:lineRule="auto"/>
        <w:rPr>
          <w:rFonts w:ascii="Arial" w:eastAsia="Times New Roman" w:hAnsi="Arial" w:cs="Arial"/>
          <w:lang w:eastAsia="nl-NL"/>
        </w:rPr>
      </w:pPr>
      <w:r w:rsidRPr="000B01F1">
        <w:rPr>
          <w:rFonts w:ascii="Arial" w:eastAsia="Times New Roman" w:hAnsi="Arial" w:cs="Arial"/>
          <w:i/>
          <w:iCs/>
          <w:u w:val="single"/>
          <w:lang w:eastAsia="nl-NL"/>
        </w:rPr>
        <w:t>Conservatief</w:t>
      </w:r>
    </w:p>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lang w:eastAsia="nl-NL"/>
        </w:rPr>
        <w:lastRenderedPageBreak/>
        <w:t xml:space="preserve">Over het algemeen wordt conservatieve behandeling aanbevolen voor stabiele laesies. Zie bovenstaande tabel. Conservatieve therapie bestaat met name uit aanpassen van belastende activiteiten en tijdelijk stoppen met sporten. Afhankelijk van de klachten wordt meestal aanbevolen 3-6 weken rust te houden. In de acute fase worden ook </w:t>
      </w:r>
      <w:proofErr w:type="gramStart"/>
      <w:r w:rsidRPr="000B01F1">
        <w:rPr>
          <w:rFonts w:ascii="Arial" w:eastAsia="Times New Roman" w:hAnsi="Arial" w:cs="Arial"/>
          <w:lang w:eastAsia="nl-NL"/>
        </w:rPr>
        <w:t>wel eens</w:t>
      </w:r>
      <w:proofErr w:type="gramEnd"/>
      <w:r w:rsidRPr="000B01F1">
        <w:rPr>
          <w:rFonts w:ascii="Arial" w:eastAsia="Times New Roman" w:hAnsi="Arial" w:cs="Arial"/>
          <w:lang w:eastAsia="nl-NL"/>
        </w:rPr>
        <w:t xml:space="preserve"> </w:t>
      </w:r>
      <w:proofErr w:type="spellStart"/>
      <w:r w:rsidRPr="000B01F1">
        <w:rPr>
          <w:rFonts w:ascii="Arial" w:eastAsia="Times New Roman" w:hAnsi="Arial" w:cs="Arial"/>
          <w:lang w:eastAsia="nl-NL"/>
        </w:rPr>
        <w:t>NSAID’s</w:t>
      </w:r>
      <w:proofErr w:type="spellEnd"/>
      <w:r w:rsidRPr="000B01F1">
        <w:rPr>
          <w:rFonts w:ascii="Arial" w:eastAsia="Times New Roman" w:hAnsi="Arial" w:cs="Arial"/>
          <w:lang w:eastAsia="nl-NL"/>
        </w:rPr>
        <w:t xml:space="preserve"> en </w:t>
      </w:r>
      <w:proofErr w:type="spellStart"/>
      <w:r w:rsidRPr="000B01F1">
        <w:rPr>
          <w:rFonts w:ascii="Arial" w:eastAsia="Times New Roman" w:hAnsi="Arial" w:cs="Arial"/>
          <w:lang w:eastAsia="nl-NL"/>
        </w:rPr>
        <w:t>braces</w:t>
      </w:r>
      <w:proofErr w:type="spellEnd"/>
      <w:r w:rsidRPr="000B01F1">
        <w:rPr>
          <w:rFonts w:ascii="Arial" w:eastAsia="Times New Roman" w:hAnsi="Arial" w:cs="Arial"/>
          <w:lang w:eastAsia="nl-NL"/>
        </w:rPr>
        <w:t xml:space="preserve"> voorgeschreven, maar evidentie hiervoor ontbreekt. Nadat de pijn is verdwenen kan worden gestart met oefentherapie (kracht + strekoefeningen). Terugkeer naar sport is meestal na 3-6 maanden.</w:t>
      </w:r>
    </w:p>
    <w:p w:rsidR="000D7734" w:rsidRDefault="000D7734" w:rsidP="000D7734">
      <w:pPr>
        <w:spacing w:after="0" w:line="276" w:lineRule="auto"/>
        <w:outlineLvl w:val="1"/>
        <w:rPr>
          <w:rFonts w:ascii="Arial" w:eastAsia="Times New Roman" w:hAnsi="Arial" w:cs="Arial"/>
          <w:bCs/>
          <w:lang w:eastAsia="nl-NL"/>
        </w:rPr>
      </w:pPr>
    </w:p>
    <w:p w:rsidR="000B01F1" w:rsidRPr="000B01F1" w:rsidRDefault="000B01F1" w:rsidP="000D7734">
      <w:pPr>
        <w:spacing w:after="0" w:line="276" w:lineRule="auto"/>
        <w:outlineLvl w:val="1"/>
        <w:rPr>
          <w:rFonts w:ascii="Arial" w:eastAsia="Times New Roman" w:hAnsi="Arial" w:cs="Arial"/>
          <w:bCs/>
          <w:lang w:eastAsia="nl-NL"/>
        </w:rPr>
      </w:pPr>
      <w:r w:rsidRPr="000B01F1">
        <w:rPr>
          <w:rFonts w:ascii="Arial" w:eastAsia="Times New Roman" w:hAnsi="Arial" w:cs="Arial"/>
          <w:i/>
          <w:iCs/>
          <w:u w:val="single"/>
          <w:lang w:eastAsia="nl-NL"/>
        </w:rPr>
        <w:t>Operatief</w:t>
      </w:r>
    </w:p>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lang w:eastAsia="nl-NL"/>
        </w:rPr>
        <w:t xml:space="preserve">Operatieve behandeling wordt meestal aanbevolen indien er sprake is van een instabiele laesie, corpora </w:t>
      </w:r>
      <w:proofErr w:type="spellStart"/>
      <w:r w:rsidRPr="000B01F1">
        <w:rPr>
          <w:rFonts w:ascii="Arial" w:eastAsia="Times New Roman" w:hAnsi="Arial" w:cs="Arial"/>
          <w:lang w:eastAsia="nl-NL"/>
        </w:rPr>
        <w:t>libera</w:t>
      </w:r>
      <w:proofErr w:type="spellEnd"/>
      <w:r w:rsidRPr="000B01F1">
        <w:rPr>
          <w:rFonts w:ascii="Arial" w:eastAsia="Times New Roman" w:hAnsi="Arial" w:cs="Arial"/>
          <w:lang w:eastAsia="nl-NL"/>
        </w:rPr>
        <w:t xml:space="preserve">, mechanische klachten en stabiele laesies die klachten blijven geven ondanks 6 maanden conservatieve behandeling. Op dit moment is nog onduidelijk welke operatietechniek voor welke indicatie het beste werkt. Over het algemeen worden 3 technieken grofweg onderscheiden: 1) (arthroscopisch) </w:t>
      </w:r>
      <w:proofErr w:type="spellStart"/>
      <w:r w:rsidRPr="000B01F1">
        <w:rPr>
          <w:rFonts w:ascii="Arial" w:eastAsia="Times New Roman" w:hAnsi="Arial" w:cs="Arial"/>
          <w:lang w:eastAsia="nl-NL"/>
        </w:rPr>
        <w:t>debridement</w:t>
      </w:r>
      <w:proofErr w:type="spellEnd"/>
      <w:r w:rsidRPr="000B01F1">
        <w:rPr>
          <w:rFonts w:ascii="Arial" w:eastAsia="Times New Roman" w:hAnsi="Arial" w:cs="Arial"/>
          <w:lang w:eastAsia="nl-NL"/>
        </w:rPr>
        <w:t xml:space="preserve"> + </w:t>
      </w:r>
      <w:proofErr w:type="spellStart"/>
      <w:r w:rsidRPr="000B01F1">
        <w:rPr>
          <w:rFonts w:ascii="Arial" w:eastAsia="Times New Roman" w:hAnsi="Arial" w:cs="Arial"/>
          <w:lang w:eastAsia="nl-NL"/>
        </w:rPr>
        <w:t>microfracture</w:t>
      </w:r>
      <w:proofErr w:type="spellEnd"/>
      <w:r w:rsidRPr="000B01F1">
        <w:rPr>
          <w:rFonts w:ascii="Arial" w:eastAsia="Times New Roman" w:hAnsi="Arial" w:cs="Arial"/>
          <w:lang w:eastAsia="nl-NL"/>
        </w:rPr>
        <w:t xml:space="preserve">; 2) fixatie en 3) </w:t>
      </w:r>
      <w:proofErr w:type="spellStart"/>
      <w:r w:rsidRPr="000B01F1">
        <w:rPr>
          <w:rFonts w:ascii="Arial" w:eastAsia="Times New Roman" w:hAnsi="Arial" w:cs="Arial"/>
          <w:lang w:eastAsia="nl-NL"/>
        </w:rPr>
        <w:t>Osteochondrale</w:t>
      </w:r>
      <w:proofErr w:type="spellEnd"/>
      <w:r w:rsidRPr="000B01F1">
        <w:rPr>
          <w:rFonts w:ascii="Arial" w:eastAsia="Times New Roman" w:hAnsi="Arial" w:cs="Arial"/>
          <w:lang w:eastAsia="nl-NL"/>
        </w:rPr>
        <w:t xml:space="preserve"> Autograft Transfers (OATS). Theoretisch gezien zou </w:t>
      </w:r>
      <w:proofErr w:type="spellStart"/>
      <w:r w:rsidRPr="000B01F1">
        <w:rPr>
          <w:rFonts w:ascii="Arial" w:eastAsia="Times New Roman" w:hAnsi="Arial" w:cs="Arial"/>
          <w:lang w:eastAsia="nl-NL"/>
        </w:rPr>
        <w:t>debridement</w:t>
      </w:r>
      <w:proofErr w:type="spellEnd"/>
      <w:r w:rsidRPr="000B01F1">
        <w:rPr>
          <w:rFonts w:ascii="Arial" w:eastAsia="Times New Roman" w:hAnsi="Arial" w:cs="Arial"/>
          <w:lang w:eastAsia="nl-NL"/>
        </w:rPr>
        <w:t xml:space="preserve"> + </w:t>
      </w:r>
      <w:proofErr w:type="spellStart"/>
      <w:r w:rsidRPr="000B01F1">
        <w:rPr>
          <w:rFonts w:ascii="Arial" w:eastAsia="Times New Roman" w:hAnsi="Arial" w:cs="Arial"/>
          <w:lang w:eastAsia="nl-NL"/>
        </w:rPr>
        <w:t>microfracture</w:t>
      </w:r>
      <w:proofErr w:type="spellEnd"/>
      <w:r w:rsidRPr="000B01F1">
        <w:rPr>
          <w:rFonts w:ascii="Arial" w:eastAsia="Times New Roman" w:hAnsi="Arial" w:cs="Arial"/>
          <w:lang w:eastAsia="nl-NL"/>
        </w:rPr>
        <w:t xml:space="preserve"> de beste optie zijn voor gevallen met multiple fragmenten en corpora </w:t>
      </w:r>
      <w:proofErr w:type="spellStart"/>
      <w:r w:rsidRPr="000B01F1">
        <w:rPr>
          <w:rFonts w:ascii="Arial" w:eastAsia="Times New Roman" w:hAnsi="Arial" w:cs="Arial"/>
          <w:lang w:eastAsia="nl-NL"/>
        </w:rPr>
        <w:t>libra</w:t>
      </w:r>
      <w:proofErr w:type="spellEnd"/>
      <w:r w:rsidRPr="000B01F1">
        <w:rPr>
          <w:rFonts w:ascii="Arial" w:eastAsia="Times New Roman" w:hAnsi="Arial" w:cs="Arial"/>
          <w:lang w:eastAsia="nl-NL"/>
        </w:rPr>
        <w:t xml:space="preserve">. Een groot, niet-gedislokeerd fragment zou in aanmerking kunnen komen voor fixatie. Indien er sprake is van een groot fragment dat </w:t>
      </w:r>
      <w:proofErr w:type="spellStart"/>
      <w:r w:rsidRPr="000B01F1">
        <w:rPr>
          <w:rFonts w:ascii="Arial" w:eastAsia="Times New Roman" w:hAnsi="Arial" w:cs="Arial"/>
          <w:lang w:eastAsia="nl-NL"/>
        </w:rPr>
        <w:t>gedisloceerd</w:t>
      </w:r>
      <w:proofErr w:type="spellEnd"/>
      <w:r w:rsidRPr="000B01F1">
        <w:rPr>
          <w:rFonts w:ascii="Arial" w:eastAsia="Times New Roman" w:hAnsi="Arial" w:cs="Arial"/>
          <w:lang w:eastAsia="nl-NL"/>
        </w:rPr>
        <w:t xml:space="preserve"> is en doorloopt tot in de laterale rand van het </w:t>
      </w:r>
      <w:proofErr w:type="spellStart"/>
      <w:r w:rsidRPr="000B01F1">
        <w:rPr>
          <w:rFonts w:ascii="Arial" w:eastAsia="Times New Roman" w:hAnsi="Arial" w:cs="Arial"/>
          <w:lang w:eastAsia="nl-NL"/>
        </w:rPr>
        <w:t>capitellum</w:t>
      </w:r>
      <w:proofErr w:type="spellEnd"/>
      <w:r w:rsidRPr="000B01F1">
        <w:rPr>
          <w:rFonts w:ascii="Arial" w:eastAsia="Times New Roman" w:hAnsi="Arial" w:cs="Arial"/>
          <w:lang w:eastAsia="nl-NL"/>
        </w:rPr>
        <w:t xml:space="preserve"> kan een OATS worden overwogen.</w:t>
      </w:r>
    </w:p>
    <w:p w:rsidR="000D7734" w:rsidRDefault="000D7734" w:rsidP="000D7734">
      <w:pPr>
        <w:spacing w:after="0" w:line="276" w:lineRule="auto"/>
        <w:rPr>
          <w:rFonts w:ascii="Arial" w:eastAsia="Times New Roman" w:hAnsi="Arial" w:cs="Arial"/>
          <w:lang w:eastAsia="nl-NL"/>
        </w:rPr>
      </w:pPr>
    </w:p>
    <w:p w:rsidR="000B01F1" w:rsidRPr="000B01F1" w:rsidRDefault="000B01F1" w:rsidP="000D7734">
      <w:pPr>
        <w:spacing w:after="0" w:line="276" w:lineRule="auto"/>
        <w:rPr>
          <w:rFonts w:ascii="Arial" w:eastAsia="Times New Roman" w:hAnsi="Arial" w:cs="Arial"/>
          <w:sz w:val="28"/>
          <w:szCs w:val="28"/>
          <w:lang w:eastAsia="nl-NL"/>
        </w:rPr>
      </w:pPr>
      <w:proofErr w:type="gramStart"/>
      <w:r w:rsidRPr="000B01F1">
        <w:rPr>
          <w:rFonts w:ascii="Arial" w:eastAsia="Times New Roman" w:hAnsi="Arial" w:cs="Arial"/>
          <w:bCs/>
          <w:sz w:val="28"/>
          <w:szCs w:val="28"/>
          <w:lang w:eastAsia="nl-NL"/>
        </w:rPr>
        <w:t>Nabehandeling /</w:t>
      </w:r>
      <w:proofErr w:type="gramEnd"/>
      <w:r w:rsidRPr="000B01F1">
        <w:rPr>
          <w:rFonts w:ascii="Arial" w:eastAsia="Times New Roman" w:hAnsi="Arial" w:cs="Arial"/>
          <w:bCs/>
          <w:sz w:val="28"/>
          <w:szCs w:val="28"/>
          <w:lang w:eastAsia="nl-NL"/>
        </w:rPr>
        <w:t xml:space="preserve"> sporthervatting</w:t>
      </w:r>
    </w:p>
    <w:p w:rsidR="000B01F1" w:rsidRPr="000B01F1" w:rsidRDefault="000B01F1" w:rsidP="000B01F1">
      <w:pPr>
        <w:spacing w:after="0" w:line="276" w:lineRule="auto"/>
        <w:rPr>
          <w:rFonts w:ascii="Arial" w:eastAsia="Times New Roman" w:hAnsi="Arial" w:cs="Arial"/>
          <w:lang w:eastAsia="nl-NL"/>
        </w:rPr>
      </w:pPr>
      <w:r w:rsidRPr="000B01F1">
        <w:rPr>
          <w:rFonts w:ascii="Arial" w:eastAsia="Times New Roman" w:hAnsi="Arial" w:cs="Arial"/>
          <w:lang w:eastAsia="nl-NL"/>
        </w:rPr>
        <w:t xml:space="preserve">Na </w:t>
      </w:r>
      <w:proofErr w:type="spellStart"/>
      <w:r w:rsidRPr="000B01F1">
        <w:rPr>
          <w:rFonts w:ascii="Arial" w:eastAsia="Times New Roman" w:hAnsi="Arial" w:cs="Arial"/>
          <w:lang w:eastAsia="nl-NL"/>
        </w:rPr>
        <w:t>debridement</w:t>
      </w:r>
      <w:proofErr w:type="spellEnd"/>
      <w:r w:rsidRPr="000B01F1">
        <w:rPr>
          <w:rFonts w:ascii="Arial" w:eastAsia="Times New Roman" w:hAnsi="Arial" w:cs="Arial"/>
          <w:lang w:eastAsia="nl-NL"/>
        </w:rPr>
        <w:t xml:space="preserve"> en </w:t>
      </w:r>
      <w:proofErr w:type="spellStart"/>
      <w:r w:rsidRPr="000B01F1">
        <w:rPr>
          <w:rFonts w:ascii="Arial" w:eastAsia="Times New Roman" w:hAnsi="Arial" w:cs="Arial"/>
          <w:lang w:eastAsia="nl-NL"/>
        </w:rPr>
        <w:t>microfracture</w:t>
      </w:r>
      <w:proofErr w:type="spellEnd"/>
      <w:r w:rsidRPr="000B01F1">
        <w:rPr>
          <w:rFonts w:ascii="Arial" w:eastAsia="Times New Roman" w:hAnsi="Arial" w:cs="Arial"/>
          <w:lang w:eastAsia="nl-NL"/>
        </w:rPr>
        <w:t xml:space="preserve"> kunnen patiënten meestal direct de beweeglijkheid gaan oefenen. Hervatten van sportactiviteiten varieert in de literatuur, maar wordt al na 1-4 maanden beschreven. Sporthervatting op het oude niveau is ongeveer 62%. Na fixatie is sporthervatting op het oude niveau ongeveer 72%. Na OATS worden patiënten meestal de eerste 2 weken in het gips </w:t>
      </w:r>
      <w:proofErr w:type="spellStart"/>
      <w:r w:rsidRPr="000B01F1">
        <w:rPr>
          <w:rFonts w:ascii="Arial" w:eastAsia="Times New Roman" w:hAnsi="Arial" w:cs="Arial"/>
          <w:lang w:eastAsia="nl-NL"/>
        </w:rPr>
        <w:t>nabehandeld</w:t>
      </w:r>
      <w:proofErr w:type="spellEnd"/>
      <w:r w:rsidRPr="000B01F1">
        <w:rPr>
          <w:rFonts w:ascii="Arial" w:eastAsia="Times New Roman" w:hAnsi="Arial" w:cs="Arial"/>
          <w:lang w:eastAsia="nl-NL"/>
        </w:rPr>
        <w:t>. Hierna begint het opbouwen van de beweeglijkheid. Sporten kan meestal na 3-6 maanden. Sporthervatting op het oude niveau is ongeveer 95%. Aangezien de indicaties voor de verschillende behandeltechnieken lijken te verschillen, is het dus ook de vraag in hoeverre de terugkeer naar sport objectief te vergelijken is.</w:t>
      </w:r>
    </w:p>
    <w:p w:rsidR="000D7734" w:rsidRDefault="000D7734" w:rsidP="000D7734">
      <w:pPr>
        <w:spacing w:after="0" w:line="276" w:lineRule="auto"/>
        <w:rPr>
          <w:rFonts w:ascii="Arial" w:eastAsia="Times New Roman" w:hAnsi="Arial" w:cs="Arial"/>
          <w:lang w:eastAsia="nl-NL"/>
        </w:rPr>
      </w:pPr>
    </w:p>
    <w:p w:rsidR="000B01F1" w:rsidRPr="000B01F1" w:rsidRDefault="000B01F1" w:rsidP="000D7734">
      <w:pPr>
        <w:spacing w:after="0" w:line="276" w:lineRule="auto"/>
        <w:rPr>
          <w:rFonts w:ascii="Arial" w:eastAsia="Times New Roman" w:hAnsi="Arial" w:cs="Arial"/>
          <w:sz w:val="28"/>
          <w:szCs w:val="28"/>
          <w:lang w:eastAsia="nl-NL"/>
        </w:rPr>
      </w:pPr>
      <w:r w:rsidRPr="000B01F1">
        <w:rPr>
          <w:rFonts w:ascii="Arial" w:eastAsia="Times New Roman" w:hAnsi="Arial" w:cs="Arial"/>
          <w:bCs/>
          <w:sz w:val="28"/>
          <w:szCs w:val="28"/>
          <w:lang w:eastAsia="nl-NL"/>
        </w:rPr>
        <w:t>Literatuur</w:t>
      </w:r>
    </w:p>
    <w:p w:rsidR="000B01F1" w:rsidRPr="000D7734" w:rsidRDefault="000B01F1" w:rsidP="000D7734">
      <w:pPr>
        <w:pStyle w:val="Lijstalinea"/>
        <w:numPr>
          <w:ilvl w:val="0"/>
          <w:numId w:val="2"/>
        </w:numPr>
        <w:spacing w:after="0" w:line="276" w:lineRule="auto"/>
        <w:rPr>
          <w:rFonts w:ascii="Arial" w:eastAsia="Times New Roman" w:hAnsi="Arial" w:cs="Arial"/>
          <w:lang w:val="en-AU" w:eastAsia="nl-NL"/>
        </w:rPr>
      </w:pPr>
      <w:hyperlink r:id="rId5" w:history="1">
        <w:proofErr w:type="spellStart"/>
        <w:r w:rsidRPr="000D7734">
          <w:rPr>
            <w:rFonts w:ascii="Arial" w:eastAsia="Times New Roman" w:hAnsi="Arial" w:cs="Arial"/>
            <w:lang w:eastAsia="nl-NL"/>
          </w:rPr>
          <w:t>Bexkens</w:t>
        </w:r>
        <w:proofErr w:type="spellEnd"/>
        <w:r w:rsidRPr="000D7734">
          <w:rPr>
            <w:rFonts w:ascii="Arial" w:eastAsia="Times New Roman" w:hAnsi="Arial" w:cs="Arial"/>
            <w:lang w:eastAsia="nl-NL"/>
          </w:rPr>
          <w:t xml:space="preserve"> R et al. </w:t>
        </w:r>
        <w:r w:rsidRPr="000D7734">
          <w:rPr>
            <w:rFonts w:ascii="Arial" w:eastAsia="Times New Roman" w:hAnsi="Arial" w:cs="Arial"/>
            <w:lang w:val="en-AU" w:eastAsia="nl-NL"/>
          </w:rPr>
          <w:t xml:space="preserve">Clinical Outcome </w:t>
        </w:r>
        <w:proofErr w:type="gramStart"/>
        <w:r w:rsidRPr="000D7734">
          <w:rPr>
            <w:rFonts w:ascii="Arial" w:eastAsia="Times New Roman" w:hAnsi="Arial" w:cs="Arial"/>
            <w:lang w:val="en-AU" w:eastAsia="nl-NL"/>
          </w:rPr>
          <w:t>After</w:t>
        </w:r>
        <w:proofErr w:type="gramEnd"/>
        <w:r w:rsidRPr="000D7734">
          <w:rPr>
            <w:rFonts w:ascii="Arial" w:eastAsia="Times New Roman" w:hAnsi="Arial" w:cs="Arial"/>
            <w:lang w:val="en-AU" w:eastAsia="nl-NL"/>
          </w:rPr>
          <w:t xml:space="preserve"> Arthroscopic Debridement and </w:t>
        </w:r>
        <w:proofErr w:type="spellStart"/>
        <w:r w:rsidRPr="000D7734">
          <w:rPr>
            <w:rFonts w:ascii="Arial" w:eastAsia="Times New Roman" w:hAnsi="Arial" w:cs="Arial"/>
            <w:lang w:val="en-AU" w:eastAsia="nl-NL"/>
          </w:rPr>
          <w:t>Microfracture</w:t>
        </w:r>
        <w:proofErr w:type="spellEnd"/>
        <w:r w:rsidRPr="000D7734">
          <w:rPr>
            <w:rFonts w:ascii="Arial" w:eastAsia="Times New Roman" w:hAnsi="Arial" w:cs="Arial"/>
            <w:lang w:val="en-AU" w:eastAsia="nl-NL"/>
          </w:rPr>
          <w:t xml:space="preserve"> for </w:t>
        </w:r>
        <w:proofErr w:type="spellStart"/>
        <w:r w:rsidRPr="000D7734">
          <w:rPr>
            <w:rFonts w:ascii="Arial" w:eastAsia="Times New Roman" w:hAnsi="Arial" w:cs="Arial"/>
            <w:lang w:val="en-AU" w:eastAsia="nl-NL"/>
          </w:rPr>
          <w:t>Osteochondritis</w:t>
        </w:r>
        <w:proofErr w:type="spellEnd"/>
        <w:r w:rsidRPr="000D7734">
          <w:rPr>
            <w:rFonts w:ascii="Arial" w:eastAsia="Times New Roman" w:hAnsi="Arial" w:cs="Arial"/>
            <w:lang w:val="en-AU" w:eastAsia="nl-NL"/>
          </w:rPr>
          <w:t xml:space="preserve"> </w:t>
        </w:r>
        <w:proofErr w:type="spellStart"/>
        <w:r w:rsidRPr="000D7734">
          <w:rPr>
            <w:rFonts w:ascii="Arial" w:eastAsia="Times New Roman" w:hAnsi="Arial" w:cs="Arial"/>
            <w:lang w:val="en-AU" w:eastAsia="nl-NL"/>
          </w:rPr>
          <w:t>Dissecans</w:t>
        </w:r>
        <w:proofErr w:type="spellEnd"/>
        <w:r w:rsidRPr="000D7734">
          <w:rPr>
            <w:rFonts w:ascii="Arial" w:eastAsia="Times New Roman" w:hAnsi="Arial" w:cs="Arial"/>
            <w:lang w:val="en-AU" w:eastAsia="nl-NL"/>
          </w:rPr>
          <w:t xml:space="preserve"> of the </w:t>
        </w:r>
        <w:proofErr w:type="spellStart"/>
        <w:r w:rsidRPr="000D7734">
          <w:rPr>
            <w:rFonts w:ascii="Arial" w:eastAsia="Times New Roman" w:hAnsi="Arial" w:cs="Arial"/>
            <w:lang w:val="en-AU" w:eastAsia="nl-NL"/>
          </w:rPr>
          <w:t>Capitellum</w:t>
        </w:r>
        <w:proofErr w:type="spellEnd"/>
        <w:r w:rsidRPr="000D7734">
          <w:rPr>
            <w:rFonts w:ascii="Arial" w:eastAsia="Times New Roman" w:hAnsi="Arial" w:cs="Arial"/>
            <w:lang w:val="en-AU" w:eastAsia="nl-NL"/>
          </w:rPr>
          <w:t>. Am J Sports Med 2017;12:2312–2318</w:t>
        </w:r>
      </w:hyperlink>
    </w:p>
    <w:p w:rsidR="000B01F1" w:rsidRPr="000D7734" w:rsidRDefault="000B01F1" w:rsidP="000D7734">
      <w:pPr>
        <w:pStyle w:val="Lijstalinea"/>
        <w:numPr>
          <w:ilvl w:val="0"/>
          <w:numId w:val="2"/>
        </w:numPr>
        <w:spacing w:after="0" w:line="276" w:lineRule="auto"/>
        <w:rPr>
          <w:rFonts w:ascii="Arial" w:eastAsia="Times New Roman" w:hAnsi="Arial" w:cs="Arial"/>
          <w:lang w:val="en-AU" w:eastAsia="nl-NL"/>
        </w:rPr>
      </w:pPr>
      <w:hyperlink r:id="rId6" w:history="1">
        <w:proofErr w:type="spellStart"/>
        <w:r w:rsidRPr="000D7734">
          <w:rPr>
            <w:rFonts w:ascii="Arial" w:eastAsia="Times New Roman" w:hAnsi="Arial" w:cs="Arial"/>
            <w:lang w:val="en-AU" w:eastAsia="nl-NL"/>
          </w:rPr>
          <w:t>Ruchelsman</w:t>
        </w:r>
        <w:proofErr w:type="spellEnd"/>
        <w:r w:rsidRPr="000D7734">
          <w:rPr>
            <w:rFonts w:ascii="Arial" w:eastAsia="Times New Roman" w:hAnsi="Arial" w:cs="Arial"/>
            <w:lang w:val="en-AU" w:eastAsia="nl-NL"/>
          </w:rPr>
          <w:t xml:space="preserve"> DE et al. </w:t>
        </w:r>
        <w:proofErr w:type="spellStart"/>
        <w:r w:rsidRPr="000D7734">
          <w:rPr>
            <w:rFonts w:ascii="Arial" w:eastAsia="Times New Roman" w:hAnsi="Arial" w:cs="Arial"/>
            <w:lang w:val="en-AU" w:eastAsia="nl-NL"/>
          </w:rPr>
          <w:t>Osteochondritis</w:t>
        </w:r>
        <w:proofErr w:type="spellEnd"/>
        <w:r w:rsidRPr="000D7734">
          <w:rPr>
            <w:rFonts w:ascii="Arial" w:eastAsia="Times New Roman" w:hAnsi="Arial" w:cs="Arial"/>
            <w:lang w:val="en-AU" w:eastAsia="nl-NL"/>
          </w:rPr>
          <w:t xml:space="preserve"> </w:t>
        </w:r>
        <w:proofErr w:type="spellStart"/>
        <w:r w:rsidRPr="000D7734">
          <w:rPr>
            <w:rFonts w:ascii="Arial" w:eastAsia="Times New Roman" w:hAnsi="Arial" w:cs="Arial"/>
            <w:lang w:val="en-AU" w:eastAsia="nl-NL"/>
          </w:rPr>
          <w:t>dissecans</w:t>
        </w:r>
        <w:proofErr w:type="spellEnd"/>
        <w:r w:rsidRPr="000D7734">
          <w:rPr>
            <w:rFonts w:ascii="Arial" w:eastAsia="Times New Roman" w:hAnsi="Arial" w:cs="Arial"/>
            <w:lang w:val="en-AU" w:eastAsia="nl-NL"/>
          </w:rPr>
          <w:t xml:space="preserve"> of the </w:t>
        </w:r>
        <w:proofErr w:type="spellStart"/>
        <w:r w:rsidRPr="000D7734">
          <w:rPr>
            <w:rFonts w:ascii="Arial" w:eastAsia="Times New Roman" w:hAnsi="Arial" w:cs="Arial"/>
            <w:lang w:val="en-AU" w:eastAsia="nl-NL"/>
          </w:rPr>
          <w:t>capitellum</w:t>
        </w:r>
        <w:proofErr w:type="spellEnd"/>
        <w:r w:rsidRPr="000D7734">
          <w:rPr>
            <w:rFonts w:ascii="Arial" w:eastAsia="Times New Roman" w:hAnsi="Arial" w:cs="Arial"/>
            <w:lang w:val="en-AU" w:eastAsia="nl-NL"/>
          </w:rPr>
          <w:t xml:space="preserve">: current concepts. J Am </w:t>
        </w:r>
        <w:proofErr w:type="spellStart"/>
        <w:r w:rsidRPr="000D7734">
          <w:rPr>
            <w:rFonts w:ascii="Arial" w:eastAsia="Times New Roman" w:hAnsi="Arial" w:cs="Arial"/>
            <w:lang w:val="en-AU" w:eastAsia="nl-NL"/>
          </w:rPr>
          <w:t>Acad</w:t>
        </w:r>
        <w:proofErr w:type="spellEnd"/>
        <w:r w:rsidRPr="000D7734">
          <w:rPr>
            <w:rFonts w:ascii="Arial" w:eastAsia="Times New Roman" w:hAnsi="Arial" w:cs="Arial"/>
            <w:lang w:val="en-AU" w:eastAsia="nl-NL"/>
          </w:rPr>
          <w:t xml:space="preserve"> </w:t>
        </w:r>
        <w:proofErr w:type="spellStart"/>
        <w:r w:rsidRPr="000D7734">
          <w:rPr>
            <w:rFonts w:ascii="Arial" w:eastAsia="Times New Roman" w:hAnsi="Arial" w:cs="Arial"/>
            <w:lang w:val="en-AU" w:eastAsia="nl-NL"/>
          </w:rPr>
          <w:t>Orthop</w:t>
        </w:r>
        <w:proofErr w:type="spellEnd"/>
        <w:r w:rsidRPr="000D7734">
          <w:rPr>
            <w:rFonts w:ascii="Arial" w:eastAsia="Times New Roman" w:hAnsi="Arial" w:cs="Arial"/>
            <w:lang w:val="en-AU" w:eastAsia="nl-NL"/>
          </w:rPr>
          <w:t xml:space="preserve"> </w:t>
        </w:r>
        <w:proofErr w:type="spellStart"/>
        <w:r w:rsidRPr="000D7734">
          <w:rPr>
            <w:rFonts w:ascii="Arial" w:eastAsia="Times New Roman" w:hAnsi="Arial" w:cs="Arial"/>
            <w:lang w:val="en-AU" w:eastAsia="nl-NL"/>
          </w:rPr>
          <w:t>Surg</w:t>
        </w:r>
        <w:proofErr w:type="spellEnd"/>
        <w:r w:rsidRPr="000D7734">
          <w:rPr>
            <w:rFonts w:ascii="Arial" w:eastAsia="Times New Roman" w:hAnsi="Arial" w:cs="Arial"/>
            <w:lang w:val="en-AU" w:eastAsia="nl-NL"/>
          </w:rPr>
          <w:t xml:space="preserve"> 2010;18:557–567</w:t>
        </w:r>
      </w:hyperlink>
    </w:p>
    <w:p w:rsidR="000B01F1" w:rsidRPr="000D7734" w:rsidRDefault="000B01F1" w:rsidP="000D7734">
      <w:pPr>
        <w:pStyle w:val="Lijstalinea"/>
        <w:numPr>
          <w:ilvl w:val="0"/>
          <w:numId w:val="2"/>
        </w:numPr>
        <w:spacing w:after="0" w:line="276" w:lineRule="auto"/>
        <w:rPr>
          <w:rFonts w:ascii="Arial" w:eastAsia="Times New Roman" w:hAnsi="Arial" w:cs="Arial"/>
          <w:lang w:eastAsia="nl-NL"/>
        </w:rPr>
      </w:pPr>
      <w:hyperlink r:id="rId7" w:history="1">
        <w:proofErr w:type="spellStart"/>
        <w:r w:rsidRPr="000D7734">
          <w:rPr>
            <w:rFonts w:ascii="Arial" w:eastAsia="Times New Roman" w:hAnsi="Arial" w:cs="Arial"/>
            <w:lang w:val="en-AU" w:eastAsia="nl-NL"/>
          </w:rPr>
          <w:t>Westermann</w:t>
        </w:r>
        <w:proofErr w:type="spellEnd"/>
        <w:r w:rsidRPr="000D7734">
          <w:rPr>
            <w:rFonts w:ascii="Arial" w:eastAsia="Times New Roman" w:hAnsi="Arial" w:cs="Arial"/>
            <w:lang w:val="en-AU" w:eastAsia="nl-NL"/>
          </w:rPr>
          <w:t xml:space="preserve"> RW et al. Return to Sport </w:t>
        </w:r>
        <w:proofErr w:type="gramStart"/>
        <w:r w:rsidRPr="000D7734">
          <w:rPr>
            <w:rFonts w:ascii="Arial" w:eastAsia="Times New Roman" w:hAnsi="Arial" w:cs="Arial"/>
            <w:lang w:val="en-AU" w:eastAsia="nl-NL"/>
          </w:rPr>
          <w:t>After</w:t>
        </w:r>
        <w:proofErr w:type="gramEnd"/>
        <w:r w:rsidRPr="000D7734">
          <w:rPr>
            <w:rFonts w:ascii="Arial" w:eastAsia="Times New Roman" w:hAnsi="Arial" w:cs="Arial"/>
            <w:lang w:val="en-AU" w:eastAsia="nl-NL"/>
          </w:rPr>
          <w:t xml:space="preserve"> Operative Management of </w:t>
        </w:r>
        <w:proofErr w:type="spellStart"/>
        <w:r w:rsidRPr="000D7734">
          <w:rPr>
            <w:rFonts w:ascii="Arial" w:eastAsia="Times New Roman" w:hAnsi="Arial" w:cs="Arial"/>
            <w:lang w:val="en-AU" w:eastAsia="nl-NL"/>
          </w:rPr>
          <w:t>Osteochondritis</w:t>
        </w:r>
        <w:proofErr w:type="spellEnd"/>
        <w:r w:rsidRPr="000D7734">
          <w:rPr>
            <w:rFonts w:ascii="Arial" w:eastAsia="Times New Roman" w:hAnsi="Arial" w:cs="Arial"/>
            <w:lang w:val="en-AU" w:eastAsia="nl-NL"/>
          </w:rPr>
          <w:t xml:space="preserve"> </w:t>
        </w:r>
        <w:proofErr w:type="spellStart"/>
        <w:r w:rsidRPr="000D7734">
          <w:rPr>
            <w:rFonts w:ascii="Arial" w:eastAsia="Times New Roman" w:hAnsi="Arial" w:cs="Arial"/>
            <w:lang w:val="en-AU" w:eastAsia="nl-NL"/>
          </w:rPr>
          <w:t>Dissecans</w:t>
        </w:r>
        <w:proofErr w:type="spellEnd"/>
        <w:r w:rsidRPr="000D7734">
          <w:rPr>
            <w:rFonts w:ascii="Arial" w:eastAsia="Times New Roman" w:hAnsi="Arial" w:cs="Arial"/>
            <w:lang w:val="en-AU" w:eastAsia="nl-NL"/>
          </w:rPr>
          <w:t xml:space="preserve"> of the </w:t>
        </w:r>
        <w:proofErr w:type="spellStart"/>
        <w:r w:rsidRPr="000D7734">
          <w:rPr>
            <w:rFonts w:ascii="Arial" w:eastAsia="Times New Roman" w:hAnsi="Arial" w:cs="Arial"/>
            <w:lang w:val="en-AU" w:eastAsia="nl-NL"/>
          </w:rPr>
          <w:t>Capitellum</w:t>
        </w:r>
        <w:proofErr w:type="spellEnd"/>
        <w:r w:rsidRPr="000D7734">
          <w:rPr>
            <w:rFonts w:ascii="Arial" w:eastAsia="Times New Roman" w:hAnsi="Arial" w:cs="Arial"/>
            <w:lang w:val="en-AU" w:eastAsia="nl-NL"/>
          </w:rPr>
          <w:t xml:space="preserve">: A Systematic Review and Meta-analysis. </w:t>
        </w:r>
        <w:proofErr w:type="spellStart"/>
        <w:r w:rsidRPr="000D7734">
          <w:rPr>
            <w:rFonts w:ascii="Arial" w:eastAsia="Times New Roman" w:hAnsi="Arial" w:cs="Arial"/>
            <w:lang w:eastAsia="nl-NL"/>
          </w:rPr>
          <w:t>Orthop</w:t>
        </w:r>
        <w:proofErr w:type="spellEnd"/>
        <w:r w:rsidRPr="000D7734">
          <w:rPr>
            <w:rFonts w:ascii="Arial" w:eastAsia="Times New Roman" w:hAnsi="Arial" w:cs="Arial"/>
            <w:lang w:eastAsia="nl-NL"/>
          </w:rPr>
          <w:t xml:space="preserve"> J </w:t>
        </w:r>
        <w:proofErr w:type="spellStart"/>
        <w:r w:rsidRPr="000D7734">
          <w:rPr>
            <w:rFonts w:ascii="Arial" w:eastAsia="Times New Roman" w:hAnsi="Arial" w:cs="Arial"/>
            <w:lang w:eastAsia="nl-NL"/>
          </w:rPr>
          <w:t>Sports</w:t>
        </w:r>
        <w:proofErr w:type="spellEnd"/>
        <w:r w:rsidRPr="000D7734">
          <w:rPr>
            <w:rFonts w:ascii="Arial" w:eastAsia="Times New Roman" w:hAnsi="Arial" w:cs="Arial"/>
            <w:lang w:eastAsia="nl-NL"/>
          </w:rPr>
          <w:t xml:space="preserve"> </w:t>
        </w:r>
        <w:proofErr w:type="spellStart"/>
        <w:r w:rsidRPr="000D7734">
          <w:rPr>
            <w:rFonts w:ascii="Arial" w:eastAsia="Times New Roman" w:hAnsi="Arial" w:cs="Arial"/>
            <w:lang w:eastAsia="nl-NL"/>
          </w:rPr>
          <w:t>Med</w:t>
        </w:r>
        <w:proofErr w:type="spellEnd"/>
        <w:r w:rsidRPr="000D7734">
          <w:rPr>
            <w:rFonts w:ascii="Arial" w:eastAsia="Times New Roman" w:hAnsi="Arial" w:cs="Arial"/>
            <w:lang w:eastAsia="nl-NL"/>
          </w:rPr>
          <w:t xml:space="preserve"> 2016;6:1–8</w:t>
        </w:r>
      </w:hyperlink>
    </w:p>
    <w:p w:rsidR="000B01F1" w:rsidRPr="000B01F1" w:rsidRDefault="000B01F1" w:rsidP="000B01F1">
      <w:pPr>
        <w:spacing w:after="0" w:line="276" w:lineRule="auto"/>
        <w:rPr>
          <w:rFonts w:ascii="Arial" w:hAnsi="Arial" w:cs="Arial"/>
        </w:rPr>
      </w:pPr>
    </w:p>
    <w:sectPr w:rsidR="000B01F1" w:rsidRPr="000B0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40D"/>
    <w:multiLevelType w:val="multilevel"/>
    <w:tmpl w:val="0B5E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84605"/>
    <w:multiLevelType w:val="hybridMultilevel"/>
    <w:tmpl w:val="EF2C1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23"/>
    <w:rsid w:val="000B01F1"/>
    <w:rsid w:val="000D7734"/>
    <w:rsid w:val="002357B6"/>
    <w:rsid w:val="008F4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AF00"/>
  <w15:chartTrackingRefBased/>
  <w15:docId w15:val="{847B0A5A-8222-44F2-A3CB-D3A5351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0B01F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0B01F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B01F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0B01F1"/>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0B01F1"/>
    <w:rPr>
      <w:b/>
      <w:bCs/>
    </w:rPr>
  </w:style>
  <w:style w:type="paragraph" w:styleId="Normaalweb">
    <w:name w:val="Normal (Web)"/>
    <w:basedOn w:val="Standaard"/>
    <w:uiPriority w:val="99"/>
    <w:semiHidden/>
    <w:unhideWhenUsed/>
    <w:rsid w:val="000B01F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0B01F1"/>
    <w:rPr>
      <w:i/>
      <w:iCs/>
    </w:rPr>
  </w:style>
  <w:style w:type="character" w:styleId="Hyperlink">
    <w:name w:val="Hyperlink"/>
    <w:basedOn w:val="Standaardalinea-lettertype"/>
    <w:uiPriority w:val="99"/>
    <w:semiHidden/>
    <w:unhideWhenUsed/>
    <w:rsid w:val="000B01F1"/>
    <w:rPr>
      <w:color w:val="0000FF"/>
      <w:u w:val="single"/>
    </w:rPr>
  </w:style>
  <w:style w:type="paragraph" w:styleId="Lijstalinea">
    <w:name w:val="List Paragraph"/>
    <w:basedOn w:val="Standaard"/>
    <w:uiPriority w:val="34"/>
    <w:qFormat/>
    <w:rsid w:val="000D7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4617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797748434">
          <w:marLeft w:val="0"/>
          <w:marRight w:val="0"/>
          <w:marTop w:val="0"/>
          <w:marBottom w:val="0"/>
          <w:divBdr>
            <w:top w:val="none" w:sz="0" w:space="0" w:color="auto"/>
            <w:left w:val="none" w:sz="0" w:space="0" w:color="auto"/>
            <w:bottom w:val="none" w:sz="0" w:space="0" w:color="auto"/>
            <w:right w:val="none" w:sz="0" w:space="0" w:color="auto"/>
          </w:divBdr>
          <w:divsChild>
            <w:div w:id="16542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394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145072970">
          <w:marLeft w:val="0"/>
          <w:marRight w:val="0"/>
          <w:marTop w:val="0"/>
          <w:marBottom w:val="0"/>
          <w:divBdr>
            <w:top w:val="none" w:sz="0" w:space="0" w:color="auto"/>
            <w:left w:val="none" w:sz="0" w:space="0" w:color="auto"/>
            <w:bottom w:val="none" w:sz="0" w:space="0" w:color="auto"/>
            <w:right w:val="none" w:sz="0" w:space="0" w:color="auto"/>
          </w:divBdr>
          <w:divsChild>
            <w:div w:id="20579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27482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0810937" TargetMode="External"/><Relationship Id="rId5" Type="http://schemas.openxmlformats.org/officeDocument/2006/relationships/hyperlink" Target="https://www.ncbi.nlm.nih.gov/pubmed/285204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6DDA89D5</Template>
  <TotalTime>8</TotalTime>
  <Pages>2</Pages>
  <Words>808</Words>
  <Characters>4445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2020-08-21T10:59:00Z</dcterms:created>
  <dcterms:modified xsi:type="dcterms:W3CDTF">2020-08-21T11:07:00Z</dcterms:modified>
</cp:coreProperties>
</file>